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1B42D13F" w14:textId="77777777" w:rsidTr="008C45D3">
        <w:trPr>
          <w:trHeight w:val="390"/>
        </w:trPr>
        <w:tc>
          <w:tcPr>
            <w:tcW w:w="2056" w:type="dxa"/>
            <w:noWrap/>
            <w:vAlign w:val="bottom"/>
          </w:tcPr>
          <w:p w14:paraId="0311729B"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DEB6594" wp14:editId="3AA498F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249BA7B0" w14:textId="77777777" w:rsidTr="008C45D3">
              <w:trPr>
                <w:trHeight w:val="390"/>
                <w:tblCellSpacing w:w="0" w:type="dxa"/>
              </w:trPr>
              <w:tc>
                <w:tcPr>
                  <w:tcW w:w="1840" w:type="dxa"/>
                  <w:noWrap/>
                  <w:vAlign w:val="bottom"/>
                </w:tcPr>
                <w:p w14:paraId="4F665A1B" w14:textId="77777777" w:rsidR="00DE3C8F" w:rsidRPr="00257E41" w:rsidRDefault="00DE3C8F" w:rsidP="008C45D3">
                  <w:pPr>
                    <w:spacing w:after="0"/>
                    <w:rPr>
                      <w:rFonts w:eastAsia="Times New Roman"/>
                      <w:sz w:val="20"/>
                      <w:szCs w:val="20"/>
                    </w:rPr>
                  </w:pPr>
                </w:p>
              </w:tc>
            </w:tr>
          </w:tbl>
          <w:p w14:paraId="027CC84F" w14:textId="77777777" w:rsidR="00DE3C8F" w:rsidRPr="00257E41" w:rsidRDefault="00DE3C8F" w:rsidP="008C45D3">
            <w:pPr>
              <w:spacing w:after="0"/>
              <w:rPr>
                <w:rFonts w:eastAsia="Times New Roman"/>
                <w:sz w:val="20"/>
                <w:szCs w:val="20"/>
              </w:rPr>
            </w:pPr>
          </w:p>
        </w:tc>
        <w:tc>
          <w:tcPr>
            <w:tcW w:w="676" w:type="dxa"/>
            <w:noWrap/>
            <w:vAlign w:val="bottom"/>
          </w:tcPr>
          <w:p w14:paraId="081D291D"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61BEE9AB"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7417356D"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3969923B"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221BB02F" w14:textId="77777777" w:rsidR="00DE3C8F" w:rsidRPr="00257E41" w:rsidRDefault="00DE3C8F" w:rsidP="008C45D3">
            <w:pPr>
              <w:spacing w:after="0"/>
              <w:rPr>
                <w:rFonts w:eastAsia="Times New Roman"/>
                <w:b/>
                <w:bCs/>
                <w:sz w:val="20"/>
                <w:szCs w:val="20"/>
              </w:rPr>
            </w:pPr>
          </w:p>
        </w:tc>
      </w:tr>
      <w:tr w:rsidR="00DE3C8F" w:rsidRPr="00257E41" w14:paraId="231331F7" w14:textId="77777777" w:rsidTr="008C45D3">
        <w:trPr>
          <w:trHeight w:val="390"/>
        </w:trPr>
        <w:tc>
          <w:tcPr>
            <w:tcW w:w="2056" w:type="dxa"/>
            <w:noWrap/>
            <w:vAlign w:val="bottom"/>
          </w:tcPr>
          <w:p w14:paraId="6D620D04" w14:textId="77777777" w:rsidR="00DE3C8F" w:rsidRPr="00257E41" w:rsidRDefault="00DE3C8F" w:rsidP="008C45D3">
            <w:pPr>
              <w:spacing w:after="0"/>
              <w:rPr>
                <w:rFonts w:eastAsia="Times New Roman"/>
                <w:sz w:val="20"/>
                <w:szCs w:val="20"/>
              </w:rPr>
            </w:pPr>
          </w:p>
        </w:tc>
        <w:tc>
          <w:tcPr>
            <w:tcW w:w="676" w:type="dxa"/>
            <w:noWrap/>
            <w:vAlign w:val="bottom"/>
          </w:tcPr>
          <w:p w14:paraId="659A35F5"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6814DA3C"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03050EA9"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74101B38"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28F12B88"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471FD872"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2BBF77A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B5E7DF6" w14:textId="77777777" w:rsidR="00DE3C8F" w:rsidRPr="00257E41" w:rsidRDefault="00DE3C8F" w:rsidP="008C45D3">
            <w:pPr>
              <w:spacing w:after="0"/>
              <w:rPr>
                <w:rFonts w:eastAsia="Times New Roman"/>
                <w:b/>
                <w:bCs/>
                <w:sz w:val="20"/>
                <w:szCs w:val="20"/>
              </w:rPr>
            </w:pPr>
          </w:p>
        </w:tc>
      </w:tr>
      <w:tr w:rsidR="00DE3C8F" w:rsidRPr="00257E41" w14:paraId="340F3608" w14:textId="77777777" w:rsidTr="008C45D3">
        <w:trPr>
          <w:trHeight w:val="612"/>
        </w:trPr>
        <w:tc>
          <w:tcPr>
            <w:tcW w:w="2056" w:type="dxa"/>
            <w:noWrap/>
            <w:vAlign w:val="bottom"/>
          </w:tcPr>
          <w:p w14:paraId="3270A447"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265AFF93"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0C0B84B2"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30EE4F6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4169A2E6"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C9B2208"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36754388"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4BAC7BD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3317D33A" w14:textId="77777777" w:rsidR="00DE3C8F" w:rsidRPr="00257E41" w:rsidRDefault="00DE3C8F" w:rsidP="008C45D3">
            <w:pPr>
              <w:spacing w:after="0"/>
              <w:rPr>
                <w:rFonts w:eastAsia="Times New Roman"/>
                <w:b/>
                <w:bCs/>
                <w:sz w:val="20"/>
                <w:szCs w:val="20"/>
              </w:rPr>
            </w:pPr>
          </w:p>
        </w:tc>
      </w:tr>
      <w:tr w:rsidR="00DE3C8F" w:rsidRPr="00257E41" w14:paraId="5569A854"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698A234"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89381C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DE7784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3FF1237"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B6AA5B7"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2564403D" w14:textId="77777777" w:rsidR="00DE3C8F" w:rsidRPr="00257E41" w:rsidRDefault="00DE3C8F" w:rsidP="008C45D3">
            <w:pPr>
              <w:spacing w:after="0"/>
              <w:rPr>
                <w:rFonts w:eastAsia="Times New Roman"/>
                <w:sz w:val="20"/>
                <w:szCs w:val="20"/>
              </w:rPr>
            </w:pPr>
          </w:p>
        </w:tc>
        <w:tc>
          <w:tcPr>
            <w:tcW w:w="1424" w:type="dxa"/>
            <w:noWrap/>
            <w:vAlign w:val="bottom"/>
            <w:hideMark/>
          </w:tcPr>
          <w:p w14:paraId="12012713"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144BF3F" w14:textId="2B30E667" w:rsidR="00DE3C8F" w:rsidRPr="00257E41" w:rsidRDefault="001C5FC5" w:rsidP="008C45D3">
            <w:pPr>
              <w:spacing w:after="0"/>
              <w:rPr>
                <w:rFonts w:eastAsia="Times New Roman"/>
                <w:sz w:val="20"/>
                <w:szCs w:val="20"/>
              </w:rPr>
            </w:pPr>
            <w:r>
              <w:rPr>
                <w:rFonts w:eastAsia="Times New Roman"/>
                <w:sz w:val="20"/>
                <w:szCs w:val="20"/>
              </w:rPr>
              <w:t>October 17, 2022</w:t>
            </w:r>
          </w:p>
        </w:tc>
      </w:tr>
      <w:tr w:rsidR="00DE3C8F" w:rsidRPr="00257E41" w14:paraId="4E2E78E3"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516B938E"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7087DC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BCE61A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78466F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D6F90E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C18144A" w14:textId="77777777" w:rsidR="00DE3C8F" w:rsidRPr="00257E41" w:rsidRDefault="00DE3C8F" w:rsidP="008C45D3">
            <w:pPr>
              <w:spacing w:after="0"/>
              <w:rPr>
                <w:rFonts w:eastAsia="Times New Roman"/>
                <w:sz w:val="20"/>
                <w:szCs w:val="20"/>
              </w:rPr>
            </w:pPr>
          </w:p>
        </w:tc>
        <w:tc>
          <w:tcPr>
            <w:tcW w:w="1424" w:type="dxa"/>
            <w:noWrap/>
            <w:vAlign w:val="bottom"/>
            <w:hideMark/>
          </w:tcPr>
          <w:p w14:paraId="02CF3147"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1A234D3" w14:textId="09E32DDF" w:rsidR="00DE3C8F" w:rsidRPr="00257E41" w:rsidRDefault="00CE32BC" w:rsidP="008C45D3">
            <w:pPr>
              <w:spacing w:after="0"/>
              <w:rPr>
                <w:rFonts w:eastAsia="Times New Roman"/>
                <w:sz w:val="20"/>
                <w:szCs w:val="20"/>
              </w:rPr>
            </w:pPr>
            <w:r>
              <w:rPr>
                <w:rFonts w:eastAsia="Times New Roman"/>
                <w:sz w:val="20"/>
                <w:szCs w:val="20"/>
              </w:rPr>
              <w:t>2022</w:t>
            </w:r>
            <w:r w:rsidR="00DE3C8F">
              <w:rPr>
                <w:rFonts w:eastAsia="Times New Roman"/>
                <w:sz w:val="20"/>
                <w:szCs w:val="20"/>
              </w:rPr>
              <w:t>-</w:t>
            </w:r>
            <w:r w:rsidR="001C5FC5">
              <w:rPr>
                <w:rFonts w:eastAsia="Times New Roman"/>
                <w:sz w:val="20"/>
                <w:szCs w:val="20"/>
              </w:rPr>
              <w:t>252</w:t>
            </w:r>
          </w:p>
        </w:tc>
        <w:tc>
          <w:tcPr>
            <w:tcW w:w="1246" w:type="dxa"/>
            <w:tcBorders>
              <w:top w:val="nil"/>
              <w:left w:val="nil"/>
              <w:bottom w:val="single" w:sz="4" w:space="0" w:color="auto"/>
              <w:right w:val="nil"/>
            </w:tcBorders>
            <w:noWrap/>
            <w:vAlign w:val="bottom"/>
            <w:hideMark/>
          </w:tcPr>
          <w:p w14:paraId="26D1802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6E1AB0F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67E08E0E"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CB6970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3CC257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9C5CB66"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418F66D" w14:textId="77777777" w:rsidR="00DE3C8F" w:rsidRPr="00257E41" w:rsidRDefault="00DE3C8F" w:rsidP="008C45D3">
            <w:pPr>
              <w:spacing w:after="0"/>
              <w:rPr>
                <w:rFonts w:eastAsia="Times New Roman"/>
                <w:sz w:val="20"/>
                <w:szCs w:val="20"/>
              </w:rPr>
            </w:pPr>
          </w:p>
        </w:tc>
        <w:tc>
          <w:tcPr>
            <w:tcW w:w="293" w:type="dxa"/>
            <w:noWrap/>
            <w:vAlign w:val="bottom"/>
          </w:tcPr>
          <w:p w14:paraId="3CB27C81" w14:textId="77777777" w:rsidR="00DE3C8F" w:rsidRPr="00257E41" w:rsidRDefault="00DE3C8F" w:rsidP="008C45D3">
            <w:pPr>
              <w:spacing w:after="0"/>
              <w:rPr>
                <w:rFonts w:eastAsia="Times New Roman"/>
                <w:sz w:val="20"/>
                <w:szCs w:val="20"/>
              </w:rPr>
            </w:pPr>
          </w:p>
        </w:tc>
        <w:tc>
          <w:tcPr>
            <w:tcW w:w="1424" w:type="dxa"/>
            <w:noWrap/>
            <w:vAlign w:val="bottom"/>
            <w:hideMark/>
          </w:tcPr>
          <w:p w14:paraId="265F3097"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CD7CE86" w14:textId="77777777" w:rsidR="00DE3C8F" w:rsidRPr="00257E41" w:rsidRDefault="00DE3C8F" w:rsidP="008C45D3">
            <w:pPr>
              <w:spacing w:after="0"/>
              <w:rPr>
                <w:rFonts w:eastAsia="Times New Roman"/>
                <w:sz w:val="20"/>
                <w:szCs w:val="20"/>
              </w:rPr>
            </w:pPr>
          </w:p>
        </w:tc>
      </w:tr>
      <w:tr w:rsidR="00DE3C8F" w:rsidRPr="00257E41" w14:paraId="546F9BC9"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103B5BF"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566014E9"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F0F152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0AB18D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EE5A9C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BAE384A"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5B24D5D"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44EEADC"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7294E059" w14:textId="77777777" w:rsidR="00DE3C8F" w:rsidRPr="00257E41" w:rsidRDefault="00DE3C8F" w:rsidP="008C45D3">
            <w:pPr>
              <w:spacing w:after="0"/>
              <w:rPr>
                <w:rFonts w:eastAsia="Times New Roman"/>
                <w:sz w:val="20"/>
                <w:szCs w:val="20"/>
              </w:rPr>
            </w:pPr>
          </w:p>
        </w:tc>
      </w:tr>
      <w:tr w:rsidR="00DE3C8F" w:rsidRPr="00257E41" w14:paraId="2BE47372"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58B845C2"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30591837"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502CFA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7E5BD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398EEF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D14BA4C" w14:textId="77777777" w:rsidR="00DE3C8F" w:rsidRPr="00257E41" w:rsidRDefault="00DE3C8F" w:rsidP="008C45D3">
            <w:pPr>
              <w:spacing w:after="0"/>
              <w:rPr>
                <w:rFonts w:eastAsia="Times New Roman"/>
                <w:sz w:val="20"/>
                <w:szCs w:val="20"/>
              </w:rPr>
            </w:pPr>
          </w:p>
        </w:tc>
        <w:tc>
          <w:tcPr>
            <w:tcW w:w="1424" w:type="dxa"/>
            <w:noWrap/>
            <w:vAlign w:val="bottom"/>
            <w:hideMark/>
          </w:tcPr>
          <w:p w14:paraId="3F3BC868"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3840C9A" w14:textId="77777777" w:rsidR="00DE3C8F" w:rsidRPr="00257E41" w:rsidRDefault="00DE3C8F" w:rsidP="008C45D3">
            <w:pPr>
              <w:spacing w:after="0"/>
              <w:rPr>
                <w:rFonts w:eastAsia="Times New Roman"/>
                <w:sz w:val="20"/>
                <w:szCs w:val="20"/>
              </w:rPr>
            </w:pPr>
          </w:p>
        </w:tc>
      </w:tr>
      <w:tr w:rsidR="00DE3C8F" w:rsidRPr="00257E41" w14:paraId="6B27CF03"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62DADDC"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173BBC5"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F74F4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DAA3BE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6C8DB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28EC611"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A514209"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A5F0E2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BAF3241" w14:textId="77777777" w:rsidR="00DE3C8F" w:rsidRPr="00257E41" w:rsidRDefault="00DE3C8F" w:rsidP="008C45D3">
            <w:pPr>
              <w:spacing w:after="0"/>
              <w:rPr>
                <w:rFonts w:eastAsia="Times New Roman"/>
                <w:sz w:val="20"/>
                <w:szCs w:val="20"/>
              </w:rPr>
            </w:pPr>
          </w:p>
        </w:tc>
      </w:tr>
      <w:tr w:rsidR="00DE3C8F" w:rsidRPr="00257E41" w14:paraId="68C92F45"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713D9967"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6332F33C"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4AA378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12079F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5F3458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70C0301A" w14:textId="77777777" w:rsidR="00DE3C8F" w:rsidRPr="00257E41" w:rsidRDefault="00DE3C8F" w:rsidP="008C45D3">
            <w:pPr>
              <w:spacing w:after="0"/>
              <w:rPr>
                <w:rFonts w:eastAsia="Times New Roman"/>
                <w:sz w:val="20"/>
                <w:szCs w:val="20"/>
              </w:rPr>
            </w:pPr>
          </w:p>
        </w:tc>
        <w:tc>
          <w:tcPr>
            <w:tcW w:w="1424" w:type="dxa"/>
            <w:noWrap/>
            <w:vAlign w:val="bottom"/>
          </w:tcPr>
          <w:p w14:paraId="180240BF" w14:textId="77777777" w:rsidR="00DE3C8F" w:rsidRPr="00257E41" w:rsidRDefault="00DE3C8F" w:rsidP="008C45D3">
            <w:pPr>
              <w:spacing w:after="0"/>
              <w:rPr>
                <w:rFonts w:eastAsia="Times New Roman"/>
                <w:sz w:val="20"/>
                <w:szCs w:val="20"/>
              </w:rPr>
            </w:pPr>
          </w:p>
        </w:tc>
        <w:tc>
          <w:tcPr>
            <w:tcW w:w="1309" w:type="dxa"/>
            <w:noWrap/>
            <w:vAlign w:val="bottom"/>
          </w:tcPr>
          <w:p w14:paraId="297A970F" w14:textId="77777777" w:rsidR="00DE3C8F" w:rsidRPr="00257E41" w:rsidRDefault="00DE3C8F" w:rsidP="008C45D3">
            <w:pPr>
              <w:spacing w:after="0"/>
              <w:rPr>
                <w:rFonts w:eastAsia="Times New Roman"/>
                <w:sz w:val="20"/>
                <w:szCs w:val="20"/>
              </w:rPr>
            </w:pPr>
          </w:p>
        </w:tc>
        <w:tc>
          <w:tcPr>
            <w:tcW w:w="1246" w:type="dxa"/>
            <w:noWrap/>
            <w:vAlign w:val="bottom"/>
          </w:tcPr>
          <w:p w14:paraId="5F01F2B7" w14:textId="77777777" w:rsidR="00DE3C8F" w:rsidRPr="00257E41" w:rsidRDefault="00DE3C8F" w:rsidP="008C45D3">
            <w:pPr>
              <w:spacing w:after="0"/>
              <w:rPr>
                <w:rFonts w:eastAsia="Times New Roman"/>
                <w:sz w:val="20"/>
                <w:szCs w:val="20"/>
              </w:rPr>
            </w:pPr>
          </w:p>
        </w:tc>
      </w:tr>
      <w:tr w:rsidR="00DE3C8F" w:rsidRPr="00257E41" w14:paraId="3105D2C3"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9274D46"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43CC3CC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D44DA5E"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579F87B"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33E403A" w14:textId="77777777" w:rsidR="00DE3C8F" w:rsidRPr="00257E41" w:rsidRDefault="00DE3C8F" w:rsidP="008C45D3">
            <w:pPr>
              <w:spacing w:after="0"/>
              <w:rPr>
                <w:rFonts w:eastAsia="Times New Roman"/>
                <w:sz w:val="20"/>
                <w:szCs w:val="20"/>
              </w:rPr>
            </w:pPr>
          </w:p>
        </w:tc>
        <w:tc>
          <w:tcPr>
            <w:tcW w:w="293" w:type="dxa"/>
            <w:noWrap/>
            <w:vAlign w:val="bottom"/>
          </w:tcPr>
          <w:p w14:paraId="1632DE18" w14:textId="77777777" w:rsidR="00DE3C8F" w:rsidRPr="00257E41" w:rsidRDefault="00DE3C8F" w:rsidP="008C45D3">
            <w:pPr>
              <w:spacing w:after="0"/>
              <w:rPr>
                <w:rFonts w:eastAsia="Times New Roman"/>
                <w:sz w:val="20"/>
                <w:szCs w:val="20"/>
              </w:rPr>
            </w:pPr>
          </w:p>
        </w:tc>
        <w:tc>
          <w:tcPr>
            <w:tcW w:w="1424" w:type="dxa"/>
            <w:noWrap/>
            <w:vAlign w:val="bottom"/>
          </w:tcPr>
          <w:p w14:paraId="387EFD36" w14:textId="77777777" w:rsidR="00DE3C8F" w:rsidRDefault="00DE3C8F" w:rsidP="008C45D3">
            <w:pPr>
              <w:spacing w:after="0"/>
              <w:rPr>
                <w:rFonts w:eastAsia="Times New Roman"/>
                <w:sz w:val="20"/>
                <w:szCs w:val="20"/>
              </w:rPr>
            </w:pPr>
          </w:p>
          <w:p w14:paraId="7AC4C6D2" w14:textId="77777777" w:rsidR="00DE3C8F" w:rsidRPr="00257E41" w:rsidRDefault="00DE3C8F" w:rsidP="008C45D3">
            <w:pPr>
              <w:spacing w:after="0"/>
              <w:rPr>
                <w:rFonts w:eastAsia="Times New Roman"/>
                <w:sz w:val="20"/>
                <w:szCs w:val="20"/>
              </w:rPr>
            </w:pPr>
          </w:p>
        </w:tc>
        <w:tc>
          <w:tcPr>
            <w:tcW w:w="1309" w:type="dxa"/>
            <w:noWrap/>
            <w:vAlign w:val="bottom"/>
          </w:tcPr>
          <w:p w14:paraId="6A0C6E0F" w14:textId="77777777" w:rsidR="00DE3C8F" w:rsidRPr="00257E41" w:rsidRDefault="00DE3C8F" w:rsidP="008C45D3">
            <w:pPr>
              <w:spacing w:after="0"/>
              <w:rPr>
                <w:rFonts w:eastAsia="Times New Roman"/>
                <w:sz w:val="20"/>
                <w:szCs w:val="20"/>
              </w:rPr>
            </w:pPr>
          </w:p>
        </w:tc>
        <w:tc>
          <w:tcPr>
            <w:tcW w:w="1246" w:type="dxa"/>
            <w:noWrap/>
            <w:vAlign w:val="bottom"/>
          </w:tcPr>
          <w:p w14:paraId="79E71461" w14:textId="77777777" w:rsidR="00DE3C8F" w:rsidRPr="00257E41" w:rsidRDefault="00DE3C8F" w:rsidP="008C45D3">
            <w:pPr>
              <w:spacing w:after="0"/>
              <w:rPr>
                <w:rFonts w:eastAsia="Times New Roman"/>
                <w:sz w:val="20"/>
                <w:szCs w:val="20"/>
              </w:rPr>
            </w:pPr>
          </w:p>
        </w:tc>
      </w:tr>
    </w:tbl>
    <w:p w14:paraId="69ACB9F9" w14:textId="77777777" w:rsidR="001C5FC5" w:rsidRPr="00875509" w:rsidRDefault="001C5FC5" w:rsidP="001C5FC5">
      <w:pPr>
        <w:ind w:left="720" w:right="720"/>
        <w:jc w:val="center"/>
        <w:rPr>
          <w:b/>
          <w:bCs/>
          <w:sz w:val="22"/>
          <w:szCs w:val="22"/>
        </w:rPr>
      </w:pPr>
      <w:r w:rsidRPr="00875509">
        <w:rPr>
          <w:b/>
          <w:bCs/>
        </w:rPr>
        <w:t xml:space="preserve">RESOLUTION OF THE </w:t>
      </w:r>
      <w:r>
        <w:rPr>
          <w:b/>
          <w:bCs/>
        </w:rPr>
        <w:t>BOROUGH</w:t>
      </w:r>
      <w:r w:rsidRPr="00875509">
        <w:rPr>
          <w:b/>
          <w:bCs/>
        </w:rPr>
        <w:t xml:space="preserve"> </w:t>
      </w:r>
      <w:r>
        <w:rPr>
          <w:b/>
          <w:bCs/>
        </w:rPr>
        <w:t>COUNCIL</w:t>
      </w:r>
      <w:r w:rsidRPr="00875509">
        <w:rPr>
          <w:b/>
          <w:bCs/>
        </w:rPr>
        <w:t xml:space="preserve"> OF THE </w:t>
      </w:r>
      <w:r>
        <w:rPr>
          <w:b/>
          <w:bCs/>
        </w:rPr>
        <w:t>BOROUGH</w:t>
      </w:r>
      <w:r w:rsidRPr="00875509">
        <w:rPr>
          <w:b/>
          <w:bCs/>
        </w:rPr>
        <w:t xml:space="preserve"> OF </w:t>
      </w:r>
      <w:r>
        <w:rPr>
          <w:b/>
          <w:bCs/>
        </w:rPr>
        <w:t>EDGEWATER</w:t>
      </w:r>
      <w:r w:rsidRPr="00875509">
        <w:rPr>
          <w:b/>
          <w:bCs/>
        </w:rPr>
        <w:t xml:space="preserve">, COUNTY OF </w:t>
      </w:r>
      <w:r>
        <w:rPr>
          <w:b/>
          <w:bCs/>
        </w:rPr>
        <w:t>BERGEN</w:t>
      </w:r>
      <w:r w:rsidRPr="00875509">
        <w:rPr>
          <w:b/>
          <w:bCs/>
        </w:rPr>
        <w:t xml:space="preserve">, STATE OF NEW JERSEY APPROVING THE </w:t>
      </w:r>
      <w:r>
        <w:rPr>
          <w:b/>
          <w:bCs/>
        </w:rPr>
        <w:t xml:space="preserve">AMENDED </w:t>
      </w:r>
      <w:r w:rsidRPr="00875509">
        <w:rPr>
          <w:b/>
          <w:bCs/>
        </w:rPr>
        <w:t>AFFORDABLE HOUSING SPENDING PLAN</w:t>
      </w:r>
    </w:p>
    <w:p w14:paraId="788AF58C" w14:textId="77777777" w:rsidR="001C5FC5" w:rsidRPr="009524E1" w:rsidRDefault="001C5FC5" w:rsidP="001C5FC5">
      <w:pPr>
        <w:pStyle w:val="NoSpacing"/>
      </w:pPr>
      <w:r>
        <w:rPr>
          <w:b/>
          <w:bCs/>
        </w:rPr>
        <w:t>WHEREAS</w:t>
      </w:r>
      <w:r>
        <w:t xml:space="preserve">, on June 19, 2020, the Borough of Edgewater (“Borough”) signed a settlement agreement with Fair Share Housing Center (“FSHC”), which established the Borough’s fair share obligation and preliminarily approved the Borough’s compliance mechanisms in accordance with the March 10, 2015 decision of the Supreme Court, which transferred responsibility to review and approve housing elements and fair share plans from the Council on Affordable Housing (“COAH”) to designated </w:t>
      </w:r>
      <w:r>
        <w:rPr>
          <w:u w:val="single"/>
        </w:rPr>
        <w:t>Mount Laurel</w:t>
      </w:r>
      <w:r>
        <w:t xml:space="preserve"> trial judges within the Superior Court; and</w:t>
      </w:r>
    </w:p>
    <w:p w14:paraId="05FAEB22" w14:textId="77777777" w:rsidR="001C5FC5" w:rsidRDefault="001C5FC5" w:rsidP="001C5FC5">
      <w:pPr>
        <w:pStyle w:val="NoSpacing"/>
      </w:pPr>
    </w:p>
    <w:p w14:paraId="061B20CA" w14:textId="77777777" w:rsidR="001C5FC5" w:rsidRDefault="001C5FC5" w:rsidP="001C5FC5">
      <w:pPr>
        <w:pStyle w:val="NoSpacing"/>
      </w:pPr>
      <w:r w:rsidRPr="00247999">
        <w:rPr>
          <w:b/>
          <w:bCs/>
        </w:rPr>
        <w:t>WHEREAS</w:t>
      </w:r>
      <w:r>
        <w:t>, on November 30, 2021, the Court entered a Judgment of Compliance and Repose subject to conditions (“Conditional JOR”).</w:t>
      </w:r>
    </w:p>
    <w:p w14:paraId="59C5AA04" w14:textId="77777777" w:rsidR="001C5FC5" w:rsidRDefault="001C5FC5" w:rsidP="001C5FC5">
      <w:pPr>
        <w:pStyle w:val="NoSpacing"/>
      </w:pPr>
    </w:p>
    <w:p w14:paraId="0F1843FB" w14:textId="77777777" w:rsidR="001C5FC5" w:rsidRDefault="001C5FC5" w:rsidP="001C5FC5">
      <w:pPr>
        <w:pStyle w:val="NoSpacing"/>
      </w:pPr>
      <w:r>
        <w:rPr>
          <w:b/>
          <w:bCs/>
        </w:rPr>
        <w:t xml:space="preserve">WHEREAS, </w:t>
      </w:r>
      <w:r w:rsidRPr="00C1428C">
        <w:t>on August 15, 2022, the</w:t>
      </w:r>
      <w:r>
        <w:t xml:space="preserve"> Borough and FSHC entered into a Consent Order to address the outstanding conditions of the Conditional JOR entered by the Court; and</w:t>
      </w:r>
    </w:p>
    <w:p w14:paraId="30F4B692" w14:textId="77777777" w:rsidR="001C5FC5" w:rsidRDefault="001C5FC5" w:rsidP="001C5FC5">
      <w:pPr>
        <w:pStyle w:val="NoSpacing"/>
      </w:pPr>
    </w:p>
    <w:p w14:paraId="370CD655" w14:textId="77777777" w:rsidR="001C5FC5" w:rsidRDefault="001C5FC5" w:rsidP="001C5FC5">
      <w:pPr>
        <w:pStyle w:val="NoSpacing"/>
      </w:pPr>
      <w:r w:rsidRPr="00D447A1">
        <w:rPr>
          <w:b/>
          <w:bCs/>
        </w:rPr>
        <w:t>WHEREAS</w:t>
      </w:r>
      <w:r>
        <w:t>, the Planning Board adopted and the Borough endorsed an Amended Housing Element and Fair Share Plan to satisfy the Borough’s obligations under the Settlement Agreement, the Conditional JOR and the August 15, 2022 Consent Order; and</w:t>
      </w:r>
    </w:p>
    <w:p w14:paraId="028745D0" w14:textId="77777777" w:rsidR="001C5FC5" w:rsidRDefault="001C5FC5" w:rsidP="001C5FC5">
      <w:pPr>
        <w:ind w:firstLine="748"/>
        <w:jc w:val="both"/>
      </w:pPr>
    </w:p>
    <w:p w14:paraId="1A8DE241" w14:textId="77777777" w:rsidR="001C5FC5" w:rsidRDefault="001C5FC5" w:rsidP="001C5FC5">
      <w:pPr>
        <w:jc w:val="both"/>
      </w:pPr>
      <w:r>
        <w:t xml:space="preserve"> </w:t>
      </w:r>
      <w:r w:rsidRPr="00D447A1">
        <w:rPr>
          <w:b/>
          <w:bCs/>
        </w:rPr>
        <w:t>WHEREAS</w:t>
      </w:r>
      <w:r>
        <w:t>, the Borough wishes to adopt a Spending Plan that is consistent with its Housing Element and Fair Share Plan to satisfy the Borough’s obligations under the Settlement Agreement, the Conditional JOR and the August 15, 2022 Consent Order; and</w:t>
      </w:r>
    </w:p>
    <w:p w14:paraId="502D991A" w14:textId="77777777" w:rsidR="001C5FC5" w:rsidRDefault="001C5FC5" w:rsidP="001C5FC5">
      <w:pPr>
        <w:jc w:val="both"/>
      </w:pPr>
    </w:p>
    <w:p w14:paraId="005761DA" w14:textId="77777777" w:rsidR="001C5FC5" w:rsidRDefault="001C5FC5" w:rsidP="001C5FC5">
      <w:pPr>
        <w:jc w:val="both"/>
      </w:pPr>
      <w:r w:rsidRPr="00EE7B58">
        <w:rPr>
          <w:b/>
          <w:bCs/>
        </w:rPr>
        <w:t>WHEREAS</w:t>
      </w:r>
      <w:r>
        <w:t>, in addition to submitting a duly adopted and endorsed Housing Element and Fair Share Plan to the Court for its review and approval, the Borough desires to submit to a Spending Plan to the Court for its review and approval; and</w:t>
      </w:r>
    </w:p>
    <w:p w14:paraId="33518EC9" w14:textId="77777777" w:rsidR="001C5FC5" w:rsidRDefault="001C5FC5" w:rsidP="001C5FC5">
      <w:pPr>
        <w:ind w:firstLine="748"/>
        <w:jc w:val="both"/>
      </w:pPr>
    </w:p>
    <w:p w14:paraId="5ADF7D67" w14:textId="77777777" w:rsidR="001C5FC5" w:rsidRDefault="001C5FC5" w:rsidP="001C5FC5">
      <w:pPr>
        <w:jc w:val="both"/>
      </w:pPr>
      <w:r w:rsidRPr="00EE7B58">
        <w:rPr>
          <w:b/>
          <w:bCs/>
        </w:rPr>
        <w:t>WHEREAS</w:t>
      </w:r>
      <w:r>
        <w:t>, the Borough understands that the review and approval of the Spending Plan may result in additional changes.</w:t>
      </w:r>
    </w:p>
    <w:p w14:paraId="4ADAAC1D" w14:textId="77777777" w:rsidR="001C5FC5" w:rsidRDefault="001C5FC5" w:rsidP="001C5FC5">
      <w:pPr>
        <w:ind w:firstLine="748"/>
        <w:jc w:val="both"/>
      </w:pPr>
    </w:p>
    <w:p w14:paraId="4209AA41" w14:textId="77777777" w:rsidR="001C5FC5" w:rsidRDefault="001C5FC5" w:rsidP="001C5FC5">
      <w:pPr>
        <w:jc w:val="both"/>
      </w:pPr>
      <w:r w:rsidRPr="00EE7B58">
        <w:rPr>
          <w:b/>
          <w:bCs/>
        </w:rPr>
        <w:t>NOW THEREFORE BE IT RESOLVED</w:t>
      </w:r>
      <w:r>
        <w:t xml:space="preserve">, by the Governing Body of the Borough of Edgewater, County of Bergen, State of New Jersey: </w:t>
      </w:r>
    </w:p>
    <w:p w14:paraId="07D551AA" w14:textId="77777777" w:rsidR="001C5FC5" w:rsidRDefault="001C5FC5" w:rsidP="001C5FC5">
      <w:pPr>
        <w:ind w:firstLine="748"/>
        <w:jc w:val="both"/>
      </w:pPr>
    </w:p>
    <w:p w14:paraId="1DAA9644" w14:textId="77777777" w:rsidR="001C5FC5" w:rsidRDefault="001C5FC5" w:rsidP="001C5FC5">
      <w:pPr>
        <w:pStyle w:val="ListParagraph"/>
        <w:numPr>
          <w:ilvl w:val="0"/>
          <w:numId w:val="1"/>
        </w:numPr>
        <w:jc w:val="both"/>
      </w:pPr>
      <w:r>
        <w:t xml:space="preserve">That it hereby approves the Spending Plan, attached hereto as </w:t>
      </w:r>
      <w:r w:rsidRPr="00EE7B58">
        <w:rPr>
          <w:b/>
          <w:bCs/>
        </w:rPr>
        <w:t>Exhibit A</w:t>
      </w:r>
      <w:r>
        <w:rPr>
          <w:b/>
          <w:bCs/>
        </w:rPr>
        <w:t xml:space="preserve"> </w:t>
      </w:r>
      <w:r>
        <w:t>;and</w:t>
      </w:r>
    </w:p>
    <w:p w14:paraId="34536853" w14:textId="77777777" w:rsidR="001C5FC5" w:rsidRDefault="001C5FC5" w:rsidP="001C5FC5">
      <w:pPr>
        <w:pStyle w:val="ListParagraph"/>
        <w:numPr>
          <w:ilvl w:val="0"/>
          <w:numId w:val="1"/>
        </w:numPr>
        <w:jc w:val="both"/>
      </w:pPr>
      <w:r>
        <w:t xml:space="preserve">That it authorizes its professionals to take actions necessary to seek Court approval of this Spending Plan.  </w:t>
      </w:r>
    </w:p>
    <w:p w14:paraId="7ED605C6" w14:textId="77777777" w:rsidR="001C5FC5" w:rsidRDefault="001C5FC5" w:rsidP="001C5FC5">
      <w:pPr>
        <w:jc w:val="both"/>
      </w:pPr>
    </w:p>
    <w:p w14:paraId="0FDB4580" w14:textId="77777777" w:rsidR="001C5FC5" w:rsidRDefault="001C5FC5" w:rsidP="001C5FC5"/>
    <w:p w14:paraId="3E3389C9" w14:textId="77777777" w:rsidR="001C5FC5" w:rsidRDefault="001C5FC5" w:rsidP="001C5FC5">
      <w:pPr>
        <w:rPr>
          <w:b/>
        </w:rPr>
      </w:pPr>
    </w:p>
    <w:p w14:paraId="5A39C580" w14:textId="77777777" w:rsidR="001C5FC5" w:rsidRPr="007A5F3C" w:rsidRDefault="001C5FC5" w:rsidP="001C5FC5">
      <w:pPr>
        <w:rPr>
          <w:rFonts w:eastAsia="Calibri"/>
          <w:b/>
        </w:rPr>
      </w:pPr>
      <w:r w:rsidRPr="007A5F3C">
        <w:rPr>
          <w:rFonts w:eastAsia="Times New Roman"/>
          <w:b/>
          <w:bCs/>
        </w:rPr>
        <w:t>I hereby certify that the above resolution was adopted by the Governing Body on</w:t>
      </w:r>
      <w:r w:rsidRPr="007A5F3C">
        <w:rPr>
          <w:rFonts w:eastAsia="Calibri"/>
          <w:b/>
        </w:rPr>
        <w:t xml:space="preserve"> </w:t>
      </w:r>
      <w:r>
        <w:rPr>
          <w:rFonts w:eastAsia="Calibri"/>
          <w:b/>
        </w:rPr>
        <w:t>October 17</w:t>
      </w:r>
      <w:r w:rsidRPr="007A5F3C">
        <w:rPr>
          <w:rFonts w:eastAsia="Calibri"/>
          <w:b/>
        </w:rPr>
        <w:t>, 2022</w:t>
      </w:r>
      <w:r>
        <w:rPr>
          <w:rFonts w:eastAsia="Calibri"/>
          <w:b/>
        </w:rPr>
        <w:t>.</w:t>
      </w:r>
    </w:p>
    <w:p w14:paraId="755AA566" w14:textId="77777777" w:rsidR="001C5FC5" w:rsidRPr="007A5F3C" w:rsidRDefault="001C5FC5" w:rsidP="001C5FC5">
      <w:pPr>
        <w:tabs>
          <w:tab w:val="left" w:pos="368"/>
        </w:tabs>
        <w:spacing w:after="0" w:line="277" w:lineRule="exact"/>
        <w:rPr>
          <w:rFonts w:eastAsia="Calibri"/>
          <w:b/>
          <w:sz w:val="20"/>
          <w:szCs w:val="20"/>
        </w:rPr>
      </w:pPr>
    </w:p>
    <w:p w14:paraId="31883B75" w14:textId="77777777" w:rsidR="001C5FC5" w:rsidRPr="007A5F3C" w:rsidRDefault="001C5FC5" w:rsidP="001C5FC5">
      <w:pPr>
        <w:tabs>
          <w:tab w:val="left" w:pos="368"/>
        </w:tabs>
        <w:spacing w:after="0" w:line="277" w:lineRule="exact"/>
        <w:rPr>
          <w:rFonts w:eastAsia="Times New Roman"/>
          <w:b/>
          <w:szCs w:val="20"/>
        </w:rPr>
      </w:pPr>
      <w:r w:rsidRPr="007A5F3C">
        <w:rPr>
          <w:rFonts w:eastAsia="Calibri"/>
          <w:b/>
          <w:sz w:val="22"/>
          <w:szCs w:val="20"/>
        </w:rPr>
        <w:tab/>
        <w:t>____________________________</w:t>
      </w:r>
      <w:r w:rsidRPr="007A5F3C">
        <w:rPr>
          <w:rFonts w:eastAsia="Calibri"/>
          <w:b/>
          <w:sz w:val="22"/>
          <w:szCs w:val="20"/>
        </w:rPr>
        <w:tab/>
      </w:r>
      <w:r w:rsidRPr="007A5F3C">
        <w:rPr>
          <w:rFonts w:eastAsia="Calibri"/>
          <w:b/>
          <w:sz w:val="22"/>
          <w:szCs w:val="20"/>
        </w:rPr>
        <w:tab/>
      </w:r>
      <w:r w:rsidRPr="007A5F3C">
        <w:rPr>
          <w:rFonts w:eastAsia="Calibri"/>
          <w:b/>
          <w:sz w:val="22"/>
          <w:szCs w:val="20"/>
        </w:rPr>
        <w:tab/>
        <w:t>________________________</w:t>
      </w:r>
      <w:r>
        <w:rPr>
          <w:rFonts w:eastAsia="Times New Roman"/>
          <w:b/>
          <w:szCs w:val="20"/>
        </w:rPr>
        <w:tab/>
        <w:t xml:space="preserve">Michael McPartland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sidRPr="007A5F3C">
        <w:rPr>
          <w:rFonts w:eastAsia="Times New Roman"/>
          <w:b/>
          <w:szCs w:val="20"/>
        </w:rPr>
        <w:t>Annamarie O’Connor, RMC</w:t>
      </w:r>
      <w:r w:rsidRPr="007A5F3C">
        <w:rPr>
          <w:rFonts w:eastAsia="Times New Roman"/>
          <w:b/>
          <w:szCs w:val="20"/>
        </w:rPr>
        <w:tab/>
      </w:r>
    </w:p>
    <w:p w14:paraId="525DC5A7" w14:textId="77777777" w:rsidR="001C5FC5" w:rsidRPr="007A5F3C" w:rsidRDefault="001C5FC5" w:rsidP="001C5FC5">
      <w:pPr>
        <w:tabs>
          <w:tab w:val="left" w:pos="368"/>
        </w:tabs>
        <w:spacing w:after="0" w:line="277" w:lineRule="exact"/>
        <w:rPr>
          <w:b/>
          <w:sz w:val="28"/>
        </w:rPr>
      </w:pPr>
      <w:r w:rsidRPr="007A5F3C">
        <w:rPr>
          <w:rFonts w:eastAsia="Times New Roman"/>
          <w:b/>
          <w:szCs w:val="20"/>
        </w:rPr>
        <w:tab/>
        <w:t xml:space="preserve">Mayor </w:t>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t>Borough Clerk</w:t>
      </w:r>
    </w:p>
    <w:p w14:paraId="6A05F871" w14:textId="77777777" w:rsidR="001C5FC5" w:rsidRDefault="001C5FC5" w:rsidP="001C5FC5">
      <w:r>
        <w:br w:type="page"/>
      </w:r>
    </w:p>
    <w:p w14:paraId="3767EC2A" w14:textId="77777777" w:rsidR="001C5FC5" w:rsidRPr="00875509" w:rsidRDefault="001C5FC5" w:rsidP="001C5FC5">
      <w:pPr>
        <w:jc w:val="center"/>
        <w:rPr>
          <w:b/>
          <w:bCs/>
          <w:sz w:val="28"/>
          <w:szCs w:val="28"/>
        </w:rPr>
      </w:pPr>
      <w:r w:rsidRPr="00875509">
        <w:rPr>
          <w:b/>
          <w:bCs/>
          <w:sz w:val="28"/>
          <w:szCs w:val="28"/>
        </w:rPr>
        <w:lastRenderedPageBreak/>
        <w:t>EXHIBIT A</w:t>
      </w:r>
    </w:p>
    <w:p w14:paraId="28DBCE84" w14:textId="77777777" w:rsidR="001C5FC5" w:rsidRPr="00875509" w:rsidRDefault="001C5FC5" w:rsidP="001C5FC5">
      <w:pPr>
        <w:jc w:val="center"/>
        <w:rPr>
          <w:b/>
          <w:bCs/>
          <w:sz w:val="28"/>
          <w:szCs w:val="28"/>
        </w:rPr>
      </w:pPr>
      <w:r w:rsidRPr="00875509">
        <w:rPr>
          <w:b/>
          <w:bCs/>
          <w:sz w:val="28"/>
          <w:szCs w:val="28"/>
        </w:rPr>
        <w:t>SPENDING PLAN</w:t>
      </w:r>
    </w:p>
    <w:p w14:paraId="41BCAEEA" w14:textId="77777777" w:rsidR="001973CB" w:rsidRPr="00117A60" w:rsidRDefault="001973CB" w:rsidP="001973CB">
      <w:pPr>
        <w:pStyle w:val="Title"/>
        <w:rPr>
          <w:rFonts w:ascii="Times New Roman" w:hAnsi="Times New Roman"/>
        </w:rPr>
      </w:pPr>
      <w:r w:rsidRPr="00117A60">
        <w:rPr>
          <w:rFonts w:ascii="Times New Roman" w:hAnsi="Times New Roman"/>
        </w:rPr>
        <w:t>Affordable Housing Trust Fund Spending Plan</w:t>
      </w:r>
    </w:p>
    <w:p w14:paraId="7E8F1E39" w14:textId="77777777" w:rsidR="001973CB" w:rsidRPr="00117A60" w:rsidRDefault="001973CB" w:rsidP="001973CB">
      <w:pPr>
        <w:pStyle w:val="Title"/>
        <w:rPr>
          <w:rFonts w:ascii="Times New Roman" w:hAnsi="Times New Roman"/>
        </w:rPr>
      </w:pPr>
      <w:r>
        <w:rPr>
          <w:rFonts w:ascii="Times New Roman" w:hAnsi="Times New Roman"/>
        </w:rPr>
        <w:t>Borough</w:t>
      </w:r>
      <w:r w:rsidRPr="00117A60">
        <w:rPr>
          <w:rFonts w:ascii="Times New Roman" w:hAnsi="Times New Roman"/>
        </w:rPr>
        <w:t xml:space="preserve"> of </w:t>
      </w:r>
      <w:r>
        <w:rPr>
          <w:rFonts w:ascii="Times New Roman" w:hAnsi="Times New Roman"/>
        </w:rPr>
        <w:t>Edgewater</w:t>
      </w:r>
      <w:r w:rsidRPr="00117A60">
        <w:rPr>
          <w:rFonts w:ascii="Times New Roman" w:hAnsi="Times New Roman"/>
        </w:rPr>
        <w:t xml:space="preserve"> </w:t>
      </w:r>
    </w:p>
    <w:p w14:paraId="6C11509C" w14:textId="77777777" w:rsidR="001973CB" w:rsidRDefault="001973CB" w:rsidP="001973CB">
      <w:pPr>
        <w:tabs>
          <w:tab w:val="left" w:pos="-72"/>
        </w:tabs>
        <w:jc w:val="both"/>
        <w:rPr>
          <w:b/>
          <w:u w:val="single"/>
        </w:rPr>
      </w:pPr>
    </w:p>
    <w:p w14:paraId="6F4E66D5" w14:textId="77777777" w:rsidR="001973CB" w:rsidRDefault="001973CB" w:rsidP="001973CB">
      <w:pPr>
        <w:tabs>
          <w:tab w:val="left" w:pos="-72"/>
        </w:tabs>
        <w:jc w:val="both"/>
        <w:rPr>
          <w:b/>
          <w:u w:val="single"/>
        </w:rPr>
      </w:pPr>
      <w:r>
        <w:rPr>
          <w:b/>
          <w:u w:val="single"/>
        </w:rPr>
        <w:t>INTRODUCTION</w:t>
      </w:r>
    </w:p>
    <w:p w14:paraId="2DCBE474" w14:textId="77777777" w:rsidR="001973CB" w:rsidRDefault="001973CB" w:rsidP="001973CB">
      <w:pPr>
        <w:tabs>
          <w:tab w:val="left" w:pos="-72"/>
        </w:tabs>
        <w:jc w:val="both"/>
        <w:rPr>
          <w:bCs/>
        </w:rPr>
      </w:pPr>
    </w:p>
    <w:p w14:paraId="0207FF5A" w14:textId="77777777" w:rsidR="001973CB" w:rsidRPr="003D25D3" w:rsidRDefault="001973CB" w:rsidP="001973CB">
      <w:pPr>
        <w:autoSpaceDE w:val="0"/>
        <w:autoSpaceDN w:val="0"/>
        <w:adjustRightInd w:val="0"/>
        <w:jc w:val="both"/>
        <w:rPr>
          <w:rFonts w:ascii="Times" w:hAnsi="Times" w:cs="Times"/>
          <w:color w:val="000000"/>
        </w:rPr>
      </w:pPr>
      <w:r>
        <w:t xml:space="preserve">The Borough of Edgewater, Bergen County has prepared this Spending Plan </w:t>
      </w:r>
      <w:r>
        <w:rPr>
          <w:rFonts w:ascii="Times" w:hAnsi="Times" w:cs="Times"/>
          <w:color w:val="000000"/>
        </w:rPr>
        <w:t>in conformance with N.J.A.C. 5:97-8.10 and N.J.A.C. 5:96-5.3 to itemize the Borough’s intended use of its affordable housing trust funds</w:t>
      </w:r>
      <w:r w:rsidRPr="003D25D3">
        <w:t>.  A development fee ordinance creating a dedicated revenue source for affordable housing and establishing a housing trust fun</w:t>
      </w:r>
      <w:r>
        <w:t xml:space="preserve">d was </w:t>
      </w:r>
      <w:r w:rsidRPr="003D25D3">
        <w:t xml:space="preserve">adopted on </w:t>
      </w:r>
      <w:r w:rsidRPr="00FD4E5E">
        <w:t>December 1, 2020 (Ordinance No. 2020-28).</w:t>
      </w:r>
      <w:r w:rsidRPr="003D25D3">
        <w:t xml:space="preserve"> </w:t>
      </w:r>
      <w:r>
        <w:t>O</w:t>
      </w:r>
      <w:r w:rsidRPr="003D25D3">
        <w:t>rdinance</w:t>
      </w:r>
      <w:r>
        <w:t xml:space="preserve"> 1012-93, as thereafter amended by Ordinance 1106-98, also established the Borough of Edgewater’s Affordable Housing Trust Fund. </w:t>
      </w:r>
    </w:p>
    <w:p w14:paraId="07DBBE92" w14:textId="77777777" w:rsidR="001973CB" w:rsidRDefault="001973CB" w:rsidP="001973CB">
      <w:pPr>
        <w:autoSpaceDE w:val="0"/>
        <w:autoSpaceDN w:val="0"/>
        <w:adjustRightInd w:val="0"/>
        <w:jc w:val="both"/>
      </w:pPr>
    </w:p>
    <w:p w14:paraId="142A943A" w14:textId="77777777" w:rsidR="001973CB" w:rsidRDefault="001973CB" w:rsidP="001973CB">
      <w:pPr>
        <w:tabs>
          <w:tab w:val="left" w:pos="-72"/>
        </w:tabs>
        <w:jc w:val="both"/>
      </w:pPr>
      <w:r>
        <w:t xml:space="preserve">As of </w:t>
      </w:r>
      <w:r>
        <w:rPr>
          <w:iCs/>
        </w:rPr>
        <w:t>December 31, 2021</w:t>
      </w:r>
      <w:r>
        <w:t xml:space="preserve">, the Borough of Edgewater’s affordable housing trust fund had a balance </w:t>
      </w:r>
      <w:r w:rsidRPr="007856B2">
        <w:rPr>
          <w:iCs/>
        </w:rPr>
        <w:t xml:space="preserve">of </w:t>
      </w:r>
      <w:r w:rsidRPr="007856B2">
        <w:rPr>
          <w:rStyle w:val="bld1"/>
          <w:b w:val="0"/>
          <w:bCs w:val="0"/>
        </w:rPr>
        <w:t>$62,577</w:t>
      </w:r>
      <w:r>
        <w:rPr>
          <w:rStyle w:val="bld1"/>
          <w:b w:val="0"/>
          <w:bCs w:val="0"/>
        </w:rPr>
        <w:t>.77</w:t>
      </w:r>
      <w:r w:rsidRPr="0098416F">
        <w:rPr>
          <w:iCs/>
        </w:rPr>
        <w:t>.</w:t>
      </w:r>
      <w:r w:rsidRPr="0098416F">
        <w:t xml:space="preserve">  All development fees, payments in lieu of constructing affordable units on site, and interest generated by the fees </w:t>
      </w:r>
      <w:r>
        <w:t>will be</w:t>
      </w:r>
      <w:r w:rsidRPr="0098416F">
        <w:t xml:space="preserve"> deposited in a separate interest-bearing affordable housing trust fund for the purposes of affordable housing.</w:t>
      </w:r>
      <w:r>
        <w:t xml:space="preserve"> </w:t>
      </w:r>
      <w:r w:rsidRPr="00402878">
        <w:t>These funds will be spent in accordance with N.J.A.C. 5:97-8.7 to 8.9 as described in the sections that follow</w:t>
      </w:r>
      <w:r>
        <w:t>.</w:t>
      </w:r>
    </w:p>
    <w:p w14:paraId="40852D7B" w14:textId="77777777" w:rsidR="001973CB" w:rsidRDefault="001973CB" w:rsidP="001973CB">
      <w:pPr>
        <w:tabs>
          <w:tab w:val="left" w:pos="-72"/>
        </w:tabs>
        <w:jc w:val="both"/>
      </w:pPr>
    </w:p>
    <w:p w14:paraId="502EB005" w14:textId="77777777" w:rsidR="001973CB" w:rsidRDefault="001973CB" w:rsidP="001973CB">
      <w:pPr>
        <w:rPr>
          <w:b/>
        </w:rPr>
      </w:pPr>
      <w:r>
        <w:rPr>
          <w:b/>
        </w:rPr>
        <w:t>1.  REVENUES FOR CERTIFICATION PERIOD</w:t>
      </w:r>
    </w:p>
    <w:p w14:paraId="2A239A5E" w14:textId="77777777" w:rsidR="001973CB" w:rsidRDefault="001973CB" w:rsidP="001973CB">
      <w:pPr>
        <w:jc w:val="both"/>
      </w:pPr>
    </w:p>
    <w:p w14:paraId="32E5C6DD" w14:textId="77777777" w:rsidR="001973CB" w:rsidRDefault="001973CB" w:rsidP="001973CB">
      <w:pPr>
        <w:jc w:val="both"/>
      </w:pPr>
      <w:r>
        <w:t>To calculate a projection of revenue anticipated during the 2022-2025 period, the Borough of Edgewater considered the following:</w:t>
      </w:r>
    </w:p>
    <w:p w14:paraId="340AE766" w14:textId="77777777" w:rsidR="001973CB" w:rsidRDefault="001973CB" w:rsidP="001973CB">
      <w:pPr>
        <w:tabs>
          <w:tab w:val="left" w:pos="-72"/>
        </w:tabs>
        <w:jc w:val="both"/>
      </w:pPr>
    </w:p>
    <w:p w14:paraId="215C091A" w14:textId="77777777" w:rsidR="001973CB" w:rsidRDefault="001973CB" w:rsidP="001973CB">
      <w:pPr>
        <w:numPr>
          <w:ilvl w:val="0"/>
          <w:numId w:val="4"/>
        </w:numPr>
        <w:tabs>
          <w:tab w:val="clear" w:pos="720"/>
          <w:tab w:val="num" w:pos="360"/>
        </w:tabs>
        <w:spacing w:after="0"/>
        <w:ind w:left="360"/>
        <w:jc w:val="both"/>
      </w:pPr>
      <w:r>
        <w:t>Development fees:</w:t>
      </w:r>
    </w:p>
    <w:p w14:paraId="62D5E423" w14:textId="77777777" w:rsidR="001973CB" w:rsidRDefault="001973CB" w:rsidP="001973CB">
      <w:pPr>
        <w:numPr>
          <w:ilvl w:val="0"/>
          <w:numId w:val="2"/>
        </w:numPr>
        <w:tabs>
          <w:tab w:val="clear" w:pos="1440"/>
          <w:tab w:val="num" w:pos="720"/>
        </w:tabs>
        <w:spacing w:before="120" w:after="0"/>
        <w:ind w:left="720"/>
        <w:jc w:val="both"/>
      </w:pPr>
      <w:r>
        <w:t>Residential and nonresidential projects which have had development fees imposed upon them at the time of preliminary or final development approvals and that are not exempt;</w:t>
      </w:r>
    </w:p>
    <w:p w14:paraId="429E0DAC" w14:textId="77777777" w:rsidR="001973CB" w:rsidRDefault="001973CB" w:rsidP="001973CB">
      <w:pPr>
        <w:numPr>
          <w:ilvl w:val="0"/>
          <w:numId w:val="2"/>
        </w:numPr>
        <w:tabs>
          <w:tab w:val="clear" w:pos="1440"/>
          <w:tab w:val="num" w:pos="720"/>
        </w:tabs>
        <w:spacing w:before="120" w:after="0"/>
        <w:ind w:left="720"/>
        <w:jc w:val="both"/>
      </w:pPr>
      <w:r>
        <w:t>All projects currently before the planning and zoning boards for development approvals that may apply for building permits and certificates of occupancy; and</w:t>
      </w:r>
    </w:p>
    <w:p w14:paraId="447F5C19" w14:textId="77777777" w:rsidR="001973CB" w:rsidRDefault="001973CB" w:rsidP="001973CB">
      <w:pPr>
        <w:numPr>
          <w:ilvl w:val="0"/>
          <w:numId w:val="2"/>
        </w:numPr>
        <w:tabs>
          <w:tab w:val="clear" w:pos="1440"/>
          <w:tab w:val="num" w:pos="720"/>
        </w:tabs>
        <w:spacing w:before="120" w:after="0"/>
        <w:ind w:left="720"/>
        <w:jc w:val="both"/>
      </w:pPr>
      <w:r>
        <w:lastRenderedPageBreak/>
        <w:t xml:space="preserve">Future development that is likely to occur based on historical rates of development. </w:t>
      </w:r>
    </w:p>
    <w:p w14:paraId="64FCF20A" w14:textId="77777777" w:rsidR="001973CB" w:rsidRDefault="001973CB" w:rsidP="001973CB">
      <w:pPr>
        <w:spacing w:before="120"/>
        <w:ind w:left="360"/>
        <w:jc w:val="both"/>
      </w:pPr>
      <w:r>
        <w:t>The Borough expects most of the development during this period to be inclusionary projects.  Inclusionary projects are exempt from development fees.</w:t>
      </w:r>
    </w:p>
    <w:p w14:paraId="56DE43FF" w14:textId="77777777" w:rsidR="001973CB" w:rsidRDefault="001973CB" w:rsidP="001973CB">
      <w:pPr>
        <w:numPr>
          <w:ilvl w:val="0"/>
          <w:numId w:val="4"/>
        </w:numPr>
        <w:tabs>
          <w:tab w:val="num" w:pos="360"/>
        </w:tabs>
        <w:spacing w:before="120" w:after="0"/>
        <w:ind w:left="360"/>
        <w:jc w:val="both"/>
      </w:pPr>
      <w:r>
        <w:t xml:space="preserve">Actual and committed Payment in Lieu (PIL) of construction from developers as follows: </w:t>
      </w:r>
    </w:p>
    <w:p w14:paraId="27E369BA" w14:textId="77777777" w:rsidR="001973CB" w:rsidRDefault="001973CB" w:rsidP="001973CB">
      <w:pPr>
        <w:numPr>
          <w:ilvl w:val="0"/>
          <w:numId w:val="6"/>
        </w:numPr>
        <w:spacing w:before="120" w:after="120"/>
      </w:pPr>
      <w:r>
        <w:t xml:space="preserve">There have not been any Payments in Lieu collected by the municipality, and none are expected. </w:t>
      </w:r>
    </w:p>
    <w:p w14:paraId="5A5BC11C" w14:textId="77777777" w:rsidR="001973CB" w:rsidRDefault="001973CB" w:rsidP="001973CB">
      <w:pPr>
        <w:tabs>
          <w:tab w:val="left" w:pos="-72"/>
        </w:tabs>
        <w:ind w:left="1440"/>
        <w:jc w:val="both"/>
      </w:pPr>
    </w:p>
    <w:p w14:paraId="0D0C4663" w14:textId="77777777" w:rsidR="001973CB" w:rsidRDefault="001973CB" w:rsidP="001973CB">
      <w:pPr>
        <w:numPr>
          <w:ilvl w:val="0"/>
          <w:numId w:val="4"/>
        </w:numPr>
        <w:tabs>
          <w:tab w:val="clear" w:pos="720"/>
          <w:tab w:val="left" w:pos="-72"/>
          <w:tab w:val="num" w:pos="360"/>
        </w:tabs>
        <w:spacing w:after="0"/>
        <w:ind w:left="360"/>
        <w:jc w:val="both"/>
      </w:pPr>
      <w:r>
        <w:t xml:space="preserve">Other funding sources: </w:t>
      </w:r>
    </w:p>
    <w:p w14:paraId="2AF4F711" w14:textId="77777777" w:rsidR="001973CB" w:rsidRPr="00223A4F" w:rsidRDefault="001973CB" w:rsidP="001973CB">
      <w:pPr>
        <w:numPr>
          <w:ilvl w:val="0"/>
          <w:numId w:val="6"/>
        </w:numPr>
        <w:spacing w:before="120" w:after="120"/>
      </w:pPr>
      <w:r>
        <w:t>None</w:t>
      </w:r>
    </w:p>
    <w:p w14:paraId="12B71C5F" w14:textId="77777777" w:rsidR="001973CB" w:rsidRDefault="001973CB" w:rsidP="001973CB">
      <w:pPr>
        <w:pStyle w:val="BodyText"/>
        <w:numPr>
          <w:ilvl w:val="0"/>
          <w:numId w:val="3"/>
        </w:numPr>
        <w:tabs>
          <w:tab w:val="clear" w:pos="118"/>
          <w:tab w:val="clear" w:pos="343"/>
          <w:tab w:val="clear" w:pos="535"/>
          <w:tab w:val="clear" w:pos="720"/>
          <w:tab w:val="clear" w:pos="10800"/>
          <w:tab w:val="left" w:pos="360"/>
        </w:tabs>
        <w:ind w:left="360" w:right="0"/>
        <w:jc w:val="both"/>
      </w:pPr>
      <w:r>
        <w:t xml:space="preserve">Projected interest: Interest on the projected revenue in the affordable housing trust fund is projected at the current average interest rate of 0.01%. </w:t>
      </w:r>
    </w:p>
    <w:p w14:paraId="15C83025" w14:textId="77777777" w:rsidR="001973CB" w:rsidRDefault="001973CB" w:rsidP="001973CB">
      <w:pPr>
        <w:pStyle w:val="BodyText"/>
        <w:tabs>
          <w:tab w:val="clear" w:pos="118"/>
          <w:tab w:val="clear" w:pos="343"/>
          <w:tab w:val="clear" w:pos="535"/>
          <w:tab w:val="clear" w:pos="10800"/>
        </w:tabs>
        <w:ind w:left="1080" w:right="0"/>
        <w:jc w:val="both"/>
      </w:pPr>
    </w:p>
    <w:tbl>
      <w:tblPr>
        <w:tblW w:w="10260" w:type="dxa"/>
        <w:tblInd w:w="-432" w:type="dxa"/>
        <w:tblLayout w:type="fixed"/>
        <w:tblLook w:val="04A0" w:firstRow="1" w:lastRow="0" w:firstColumn="1" w:lastColumn="0" w:noHBand="0" w:noVBand="1"/>
      </w:tblPr>
      <w:tblGrid>
        <w:gridCol w:w="2255"/>
        <w:gridCol w:w="1525"/>
        <w:gridCol w:w="1620"/>
        <w:gridCol w:w="1530"/>
        <w:gridCol w:w="1710"/>
        <w:gridCol w:w="1620"/>
        <w:tblGridChange w:id="0">
          <w:tblGrid>
            <w:gridCol w:w="2255"/>
            <w:gridCol w:w="1525"/>
            <w:gridCol w:w="1620"/>
            <w:gridCol w:w="1530"/>
            <w:gridCol w:w="1710"/>
            <w:gridCol w:w="1620"/>
          </w:tblGrid>
        </w:tblGridChange>
      </w:tblGrid>
      <w:tr w:rsidR="001973CB" w:rsidRPr="00713027" w14:paraId="5F5C941B" w14:textId="77777777" w:rsidTr="009A56C1">
        <w:trPr>
          <w:trHeight w:val="600"/>
        </w:trPr>
        <w:tc>
          <w:tcPr>
            <w:tcW w:w="10260" w:type="dxa"/>
            <w:gridSpan w:val="6"/>
            <w:tcBorders>
              <w:top w:val="single" w:sz="8" w:space="0" w:color="auto"/>
              <w:left w:val="single" w:sz="8" w:space="0" w:color="auto"/>
              <w:bottom w:val="single" w:sz="8" w:space="0" w:color="auto"/>
              <w:right w:val="single" w:sz="8" w:space="0" w:color="000000"/>
            </w:tcBorders>
            <w:shd w:val="clear" w:color="000000" w:fill="A5A5A5"/>
            <w:vAlign w:val="bottom"/>
            <w:hideMark/>
          </w:tcPr>
          <w:p w14:paraId="3BEBC7CB" w14:textId="77777777" w:rsidR="001973CB" w:rsidRPr="00713027" w:rsidRDefault="001973CB" w:rsidP="009A56C1">
            <w:pPr>
              <w:jc w:val="center"/>
              <w:rPr>
                <w:b/>
                <w:bCs/>
                <w:color w:val="000000"/>
                <w:sz w:val="32"/>
                <w:szCs w:val="32"/>
              </w:rPr>
            </w:pPr>
            <w:r>
              <w:rPr>
                <w:b/>
                <w:bCs/>
                <w:color w:val="000000"/>
                <w:sz w:val="32"/>
                <w:szCs w:val="32"/>
              </w:rPr>
              <w:t>Edgewater</w:t>
            </w:r>
            <w:r w:rsidRPr="00713027">
              <w:rPr>
                <w:b/>
                <w:bCs/>
                <w:color w:val="000000"/>
                <w:sz w:val="32"/>
                <w:szCs w:val="32"/>
              </w:rPr>
              <w:t xml:space="preserve"> Projected Revenues </w:t>
            </w:r>
            <w:r>
              <w:rPr>
                <w:b/>
                <w:bCs/>
                <w:color w:val="000000"/>
                <w:sz w:val="32"/>
                <w:szCs w:val="32"/>
              </w:rPr>
              <w:t>2022</w:t>
            </w:r>
            <w:r w:rsidRPr="00713027">
              <w:rPr>
                <w:b/>
                <w:bCs/>
                <w:color w:val="000000"/>
                <w:sz w:val="32"/>
                <w:szCs w:val="32"/>
              </w:rPr>
              <w:t>-2025</w:t>
            </w:r>
          </w:p>
        </w:tc>
      </w:tr>
      <w:tr w:rsidR="001973CB" w:rsidRPr="00713027" w14:paraId="56071318" w14:textId="77777777" w:rsidTr="009A56C1">
        <w:trPr>
          <w:trHeight w:val="600"/>
        </w:trPr>
        <w:tc>
          <w:tcPr>
            <w:tcW w:w="2255" w:type="dxa"/>
            <w:tcBorders>
              <w:top w:val="single" w:sz="8" w:space="0" w:color="auto"/>
              <w:left w:val="single" w:sz="8" w:space="0" w:color="auto"/>
              <w:bottom w:val="single" w:sz="4" w:space="0" w:color="auto"/>
              <w:right w:val="single" w:sz="4" w:space="0" w:color="000000"/>
            </w:tcBorders>
            <w:shd w:val="clear" w:color="auto" w:fill="auto"/>
            <w:vAlign w:val="bottom"/>
            <w:hideMark/>
          </w:tcPr>
          <w:p w14:paraId="7DAAB615" w14:textId="77777777" w:rsidR="001973CB" w:rsidRPr="00713027" w:rsidRDefault="001973CB" w:rsidP="009A56C1">
            <w:pPr>
              <w:rPr>
                <w:b/>
                <w:bCs/>
                <w:color w:val="000000"/>
                <w:sz w:val="20"/>
                <w:szCs w:val="20"/>
              </w:rPr>
            </w:pPr>
            <w:r w:rsidRPr="00713027">
              <w:rPr>
                <w:b/>
                <w:bCs/>
                <w:color w:val="000000"/>
                <w:sz w:val="20"/>
                <w:szCs w:val="20"/>
              </w:rPr>
              <w:t> </w:t>
            </w:r>
          </w:p>
        </w:tc>
        <w:tc>
          <w:tcPr>
            <w:tcW w:w="1525" w:type="dxa"/>
            <w:tcBorders>
              <w:top w:val="nil"/>
              <w:left w:val="nil"/>
              <w:bottom w:val="single" w:sz="4" w:space="0" w:color="auto"/>
              <w:right w:val="single" w:sz="4" w:space="0" w:color="auto"/>
            </w:tcBorders>
            <w:shd w:val="clear" w:color="auto" w:fill="auto"/>
            <w:vAlign w:val="bottom"/>
            <w:hideMark/>
          </w:tcPr>
          <w:p w14:paraId="19184183" w14:textId="77777777" w:rsidR="001973CB" w:rsidRPr="00713027" w:rsidRDefault="001973CB" w:rsidP="009A56C1">
            <w:pPr>
              <w:jc w:val="center"/>
              <w:rPr>
                <w:b/>
                <w:bCs/>
                <w:color w:val="000000"/>
                <w:sz w:val="20"/>
                <w:szCs w:val="20"/>
              </w:rPr>
            </w:pPr>
            <w:r w:rsidRPr="00713027">
              <w:rPr>
                <w:b/>
                <w:bCs/>
                <w:color w:val="000000"/>
                <w:sz w:val="20"/>
                <w:szCs w:val="20"/>
              </w:rPr>
              <w:t>2022</w:t>
            </w:r>
          </w:p>
        </w:tc>
        <w:tc>
          <w:tcPr>
            <w:tcW w:w="1620" w:type="dxa"/>
            <w:tcBorders>
              <w:top w:val="nil"/>
              <w:left w:val="nil"/>
              <w:bottom w:val="single" w:sz="4" w:space="0" w:color="auto"/>
              <w:right w:val="single" w:sz="4" w:space="0" w:color="auto"/>
            </w:tcBorders>
            <w:shd w:val="clear" w:color="auto" w:fill="auto"/>
            <w:vAlign w:val="bottom"/>
            <w:hideMark/>
          </w:tcPr>
          <w:p w14:paraId="5295F80F" w14:textId="77777777" w:rsidR="001973CB" w:rsidRPr="00713027" w:rsidRDefault="001973CB" w:rsidP="009A56C1">
            <w:pPr>
              <w:jc w:val="center"/>
              <w:rPr>
                <w:b/>
                <w:bCs/>
                <w:color w:val="000000"/>
                <w:sz w:val="20"/>
                <w:szCs w:val="20"/>
              </w:rPr>
            </w:pPr>
            <w:r w:rsidRPr="00713027">
              <w:rPr>
                <w:b/>
                <w:bCs/>
                <w:color w:val="000000"/>
                <w:sz w:val="20"/>
                <w:szCs w:val="20"/>
              </w:rPr>
              <w:t>2023</w:t>
            </w:r>
          </w:p>
        </w:tc>
        <w:tc>
          <w:tcPr>
            <w:tcW w:w="1530" w:type="dxa"/>
            <w:tcBorders>
              <w:top w:val="nil"/>
              <w:left w:val="nil"/>
              <w:bottom w:val="single" w:sz="4" w:space="0" w:color="auto"/>
              <w:right w:val="single" w:sz="4" w:space="0" w:color="auto"/>
            </w:tcBorders>
            <w:shd w:val="clear" w:color="auto" w:fill="auto"/>
            <w:vAlign w:val="bottom"/>
            <w:hideMark/>
          </w:tcPr>
          <w:p w14:paraId="5E5A3D80" w14:textId="77777777" w:rsidR="001973CB" w:rsidRPr="00713027" w:rsidRDefault="001973CB" w:rsidP="009A56C1">
            <w:pPr>
              <w:jc w:val="center"/>
              <w:rPr>
                <w:b/>
                <w:bCs/>
                <w:color w:val="000000"/>
                <w:sz w:val="20"/>
                <w:szCs w:val="20"/>
              </w:rPr>
            </w:pPr>
            <w:r w:rsidRPr="00713027">
              <w:rPr>
                <w:b/>
                <w:bCs/>
                <w:color w:val="000000"/>
                <w:sz w:val="20"/>
                <w:szCs w:val="20"/>
              </w:rPr>
              <w:t>2024</w:t>
            </w:r>
          </w:p>
        </w:tc>
        <w:tc>
          <w:tcPr>
            <w:tcW w:w="1710" w:type="dxa"/>
            <w:tcBorders>
              <w:top w:val="nil"/>
              <w:left w:val="nil"/>
              <w:bottom w:val="single" w:sz="4" w:space="0" w:color="auto"/>
              <w:right w:val="single" w:sz="4" w:space="0" w:color="auto"/>
            </w:tcBorders>
            <w:shd w:val="clear" w:color="auto" w:fill="auto"/>
            <w:vAlign w:val="bottom"/>
            <w:hideMark/>
          </w:tcPr>
          <w:p w14:paraId="46F64079" w14:textId="77777777" w:rsidR="001973CB" w:rsidRPr="00713027" w:rsidRDefault="001973CB" w:rsidP="009A56C1">
            <w:pPr>
              <w:jc w:val="center"/>
              <w:rPr>
                <w:b/>
                <w:bCs/>
                <w:color w:val="000000"/>
                <w:sz w:val="20"/>
                <w:szCs w:val="20"/>
              </w:rPr>
            </w:pPr>
            <w:r w:rsidRPr="00713027">
              <w:rPr>
                <w:b/>
                <w:bCs/>
                <w:color w:val="000000"/>
                <w:sz w:val="20"/>
                <w:szCs w:val="20"/>
              </w:rPr>
              <w:t>2025</w:t>
            </w:r>
          </w:p>
        </w:tc>
        <w:tc>
          <w:tcPr>
            <w:tcW w:w="1620" w:type="dxa"/>
            <w:tcBorders>
              <w:top w:val="single" w:sz="4" w:space="0" w:color="auto"/>
              <w:left w:val="nil"/>
              <w:bottom w:val="single" w:sz="4" w:space="0" w:color="auto"/>
              <w:right w:val="single" w:sz="8" w:space="0" w:color="auto"/>
            </w:tcBorders>
            <w:shd w:val="clear" w:color="auto" w:fill="auto"/>
            <w:vAlign w:val="bottom"/>
            <w:hideMark/>
          </w:tcPr>
          <w:p w14:paraId="70144E27" w14:textId="77777777" w:rsidR="001973CB" w:rsidRPr="00713027" w:rsidRDefault="001973CB" w:rsidP="009A56C1">
            <w:pPr>
              <w:jc w:val="center"/>
              <w:rPr>
                <w:b/>
                <w:bCs/>
                <w:color w:val="000000"/>
                <w:sz w:val="20"/>
                <w:szCs w:val="20"/>
              </w:rPr>
            </w:pPr>
            <w:r w:rsidRPr="00713027">
              <w:rPr>
                <w:b/>
                <w:bCs/>
                <w:color w:val="000000"/>
                <w:sz w:val="20"/>
                <w:szCs w:val="20"/>
              </w:rPr>
              <w:t>Total</w:t>
            </w:r>
          </w:p>
        </w:tc>
      </w:tr>
      <w:tr w:rsidR="001973CB" w:rsidRPr="00713027" w14:paraId="47212C58" w14:textId="77777777" w:rsidTr="009A56C1">
        <w:trPr>
          <w:trHeight w:val="600"/>
        </w:trPr>
        <w:tc>
          <w:tcPr>
            <w:tcW w:w="2255" w:type="dxa"/>
            <w:tcBorders>
              <w:top w:val="single" w:sz="4" w:space="0" w:color="auto"/>
              <w:left w:val="single" w:sz="8" w:space="0" w:color="auto"/>
              <w:bottom w:val="single" w:sz="4" w:space="0" w:color="auto"/>
              <w:right w:val="single" w:sz="4" w:space="0" w:color="000000"/>
            </w:tcBorders>
            <w:shd w:val="clear" w:color="auto" w:fill="auto"/>
            <w:vAlign w:val="bottom"/>
            <w:hideMark/>
          </w:tcPr>
          <w:p w14:paraId="68747355" w14:textId="77777777" w:rsidR="001973CB" w:rsidRPr="00713027" w:rsidRDefault="001973CB" w:rsidP="009A56C1">
            <w:pPr>
              <w:rPr>
                <w:color w:val="000000"/>
              </w:rPr>
            </w:pPr>
            <w:r w:rsidRPr="00713027">
              <w:rPr>
                <w:color w:val="000000"/>
              </w:rPr>
              <w:t>Development fees</w:t>
            </w:r>
          </w:p>
        </w:tc>
        <w:tc>
          <w:tcPr>
            <w:tcW w:w="1525" w:type="dxa"/>
            <w:tcBorders>
              <w:top w:val="nil"/>
              <w:left w:val="nil"/>
              <w:bottom w:val="single" w:sz="4" w:space="0" w:color="auto"/>
              <w:right w:val="single" w:sz="4" w:space="0" w:color="auto"/>
            </w:tcBorders>
            <w:shd w:val="clear" w:color="auto" w:fill="auto"/>
            <w:vAlign w:val="bottom"/>
          </w:tcPr>
          <w:p w14:paraId="56796822" w14:textId="77777777" w:rsidR="001973CB" w:rsidRPr="005B2AFC" w:rsidRDefault="001973CB" w:rsidP="009A56C1">
            <w:pPr>
              <w:jc w:val="center"/>
              <w:rPr>
                <w:color w:val="000000"/>
                <w:sz w:val="20"/>
                <w:szCs w:val="20"/>
              </w:rPr>
            </w:pPr>
            <w:r>
              <w:rPr>
                <w:color w:val="000000"/>
                <w:sz w:val="20"/>
                <w:szCs w:val="20"/>
              </w:rPr>
              <w:t>$60,000</w:t>
            </w:r>
          </w:p>
        </w:tc>
        <w:tc>
          <w:tcPr>
            <w:tcW w:w="1620" w:type="dxa"/>
            <w:tcBorders>
              <w:top w:val="nil"/>
              <w:left w:val="nil"/>
              <w:bottom w:val="single" w:sz="4" w:space="0" w:color="auto"/>
              <w:right w:val="single" w:sz="4" w:space="0" w:color="auto"/>
            </w:tcBorders>
            <w:shd w:val="clear" w:color="auto" w:fill="auto"/>
            <w:vAlign w:val="bottom"/>
          </w:tcPr>
          <w:p w14:paraId="0A9CBB8B" w14:textId="77777777" w:rsidR="001973CB" w:rsidRPr="005B2AFC" w:rsidRDefault="001973CB" w:rsidP="009A56C1">
            <w:pPr>
              <w:jc w:val="center"/>
              <w:rPr>
                <w:color w:val="000000"/>
                <w:sz w:val="20"/>
                <w:szCs w:val="20"/>
              </w:rPr>
            </w:pPr>
            <w:r>
              <w:rPr>
                <w:color w:val="000000"/>
                <w:sz w:val="20"/>
                <w:szCs w:val="20"/>
              </w:rPr>
              <w:t xml:space="preserve">$60,259 </w:t>
            </w:r>
          </w:p>
        </w:tc>
        <w:tc>
          <w:tcPr>
            <w:tcW w:w="1530" w:type="dxa"/>
            <w:tcBorders>
              <w:top w:val="nil"/>
              <w:left w:val="nil"/>
              <w:bottom w:val="single" w:sz="4" w:space="0" w:color="auto"/>
              <w:right w:val="single" w:sz="4" w:space="0" w:color="auto"/>
            </w:tcBorders>
            <w:shd w:val="clear" w:color="auto" w:fill="auto"/>
            <w:vAlign w:val="bottom"/>
          </w:tcPr>
          <w:p w14:paraId="39D37925" w14:textId="77777777" w:rsidR="001973CB" w:rsidRPr="005B2AFC" w:rsidRDefault="001973CB" w:rsidP="009A56C1">
            <w:pPr>
              <w:jc w:val="center"/>
              <w:rPr>
                <w:color w:val="000000"/>
                <w:sz w:val="20"/>
                <w:szCs w:val="20"/>
              </w:rPr>
            </w:pPr>
            <w:r>
              <w:rPr>
                <w:color w:val="000000"/>
                <w:sz w:val="20"/>
                <w:szCs w:val="20"/>
              </w:rPr>
              <w:t xml:space="preserve">$60,400 </w:t>
            </w:r>
          </w:p>
        </w:tc>
        <w:tc>
          <w:tcPr>
            <w:tcW w:w="1710" w:type="dxa"/>
            <w:tcBorders>
              <w:top w:val="nil"/>
              <w:left w:val="nil"/>
              <w:bottom w:val="single" w:sz="4" w:space="0" w:color="auto"/>
              <w:right w:val="single" w:sz="4" w:space="0" w:color="auto"/>
            </w:tcBorders>
            <w:shd w:val="clear" w:color="auto" w:fill="auto"/>
            <w:vAlign w:val="bottom"/>
          </w:tcPr>
          <w:p w14:paraId="00DB5C62" w14:textId="77777777" w:rsidR="001973CB" w:rsidRPr="005B2AFC" w:rsidRDefault="001973CB" w:rsidP="009A56C1">
            <w:pPr>
              <w:jc w:val="center"/>
              <w:rPr>
                <w:color w:val="000000"/>
                <w:sz w:val="20"/>
                <w:szCs w:val="20"/>
              </w:rPr>
            </w:pPr>
            <w:r>
              <w:rPr>
                <w:color w:val="000000"/>
                <w:sz w:val="20"/>
                <w:szCs w:val="20"/>
              </w:rPr>
              <w:t xml:space="preserve">$60,400 </w:t>
            </w:r>
          </w:p>
        </w:tc>
        <w:tc>
          <w:tcPr>
            <w:tcW w:w="1620" w:type="dxa"/>
            <w:tcBorders>
              <w:top w:val="nil"/>
              <w:left w:val="nil"/>
              <w:bottom w:val="single" w:sz="4" w:space="0" w:color="auto"/>
              <w:right w:val="single" w:sz="8" w:space="0" w:color="auto"/>
            </w:tcBorders>
            <w:shd w:val="clear" w:color="auto" w:fill="auto"/>
            <w:vAlign w:val="bottom"/>
          </w:tcPr>
          <w:p w14:paraId="7A73CA34" w14:textId="77777777" w:rsidR="001973CB" w:rsidRPr="005B2AFC" w:rsidRDefault="001973CB" w:rsidP="009A56C1">
            <w:pPr>
              <w:jc w:val="center"/>
              <w:rPr>
                <w:color w:val="000000"/>
                <w:sz w:val="20"/>
                <w:szCs w:val="20"/>
              </w:rPr>
            </w:pPr>
            <w:r w:rsidRPr="00B857D5">
              <w:rPr>
                <w:color w:val="000000"/>
                <w:sz w:val="20"/>
                <w:szCs w:val="20"/>
              </w:rPr>
              <w:t>$241,050</w:t>
            </w:r>
          </w:p>
        </w:tc>
      </w:tr>
      <w:tr w:rsidR="001973CB" w:rsidRPr="00713027" w14:paraId="6AD32F4A" w14:textId="77777777" w:rsidTr="009A56C1">
        <w:trPr>
          <w:trHeight w:val="600"/>
        </w:trPr>
        <w:tc>
          <w:tcPr>
            <w:tcW w:w="2255" w:type="dxa"/>
            <w:tcBorders>
              <w:top w:val="single" w:sz="4" w:space="0" w:color="auto"/>
              <w:left w:val="single" w:sz="8" w:space="0" w:color="auto"/>
              <w:bottom w:val="single" w:sz="4" w:space="0" w:color="auto"/>
              <w:right w:val="single" w:sz="4" w:space="0" w:color="000000"/>
            </w:tcBorders>
            <w:shd w:val="clear" w:color="auto" w:fill="auto"/>
            <w:vAlign w:val="bottom"/>
            <w:hideMark/>
          </w:tcPr>
          <w:p w14:paraId="5EAF104C" w14:textId="77777777" w:rsidR="001973CB" w:rsidRPr="00713027" w:rsidRDefault="001973CB" w:rsidP="009A56C1">
            <w:pPr>
              <w:rPr>
                <w:color w:val="000000"/>
              </w:rPr>
            </w:pPr>
            <w:r w:rsidRPr="00713027">
              <w:rPr>
                <w:color w:val="000000"/>
              </w:rPr>
              <w:t>Payments in Lieu of Construction</w:t>
            </w:r>
          </w:p>
        </w:tc>
        <w:tc>
          <w:tcPr>
            <w:tcW w:w="1525" w:type="dxa"/>
            <w:tcBorders>
              <w:top w:val="nil"/>
              <w:left w:val="nil"/>
              <w:bottom w:val="single" w:sz="4" w:space="0" w:color="auto"/>
              <w:right w:val="single" w:sz="4" w:space="0" w:color="auto"/>
            </w:tcBorders>
            <w:shd w:val="clear" w:color="auto" w:fill="auto"/>
            <w:noWrap/>
            <w:vAlign w:val="bottom"/>
          </w:tcPr>
          <w:p w14:paraId="7D1115C3" w14:textId="77777777" w:rsidR="001973CB" w:rsidRPr="005B2AFC" w:rsidRDefault="001973CB" w:rsidP="009A56C1">
            <w:pPr>
              <w:jc w:val="center"/>
              <w:rPr>
                <w:color w:val="000000"/>
                <w:sz w:val="20"/>
                <w:szCs w:val="20"/>
              </w:rPr>
            </w:pPr>
            <w:r w:rsidRPr="00B857D5">
              <w:rPr>
                <w:color w:val="000000"/>
                <w:sz w:val="20"/>
                <w:szCs w:val="20"/>
              </w:rPr>
              <w:t xml:space="preserve">$0 </w:t>
            </w:r>
          </w:p>
        </w:tc>
        <w:tc>
          <w:tcPr>
            <w:tcW w:w="1620" w:type="dxa"/>
            <w:tcBorders>
              <w:top w:val="nil"/>
              <w:left w:val="nil"/>
              <w:bottom w:val="single" w:sz="4" w:space="0" w:color="auto"/>
              <w:right w:val="single" w:sz="4" w:space="0" w:color="auto"/>
            </w:tcBorders>
            <w:shd w:val="clear" w:color="auto" w:fill="auto"/>
            <w:noWrap/>
            <w:vAlign w:val="bottom"/>
          </w:tcPr>
          <w:p w14:paraId="137CD819" w14:textId="77777777" w:rsidR="001973CB" w:rsidRPr="005B2AFC" w:rsidRDefault="001973CB" w:rsidP="009A56C1">
            <w:pPr>
              <w:jc w:val="center"/>
              <w:rPr>
                <w:color w:val="000000"/>
                <w:sz w:val="20"/>
                <w:szCs w:val="20"/>
              </w:rPr>
            </w:pPr>
            <w:r w:rsidRPr="00B857D5">
              <w:rPr>
                <w:color w:val="000000"/>
                <w:sz w:val="20"/>
                <w:szCs w:val="20"/>
              </w:rPr>
              <w:t xml:space="preserve">$0 </w:t>
            </w:r>
          </w:p>
        </w:tc>
        <w:tc>
          <w:tcPr>
            <w:tcW w:w="1530" w:type="dxa"/>
            <w:tcBorders>
              <w:top w:val="nil"/>
              <w:left w:val="nil"/>
              <w:bottom w:val="single" w:sz="4" w:space="0" w:color="auto"/>
              <w:right w:val="single" w:sz="4" w:space="0" w:color="auto"/>
            </w:tcBorders>
            <w:shd w:val="clear" w:color="auto" w:fill="auto"/>
            <w:noWrap/>
            <w:vAlign w:val="bottom"/>
          </w:tcPr>
          <w:p w14:paraId="377AED1B" w14:textId="77777777" w:rsidR="001973CB" w:rsidRPr="005B2AFC" w:rsidRDefault="001973CB" w:rsidP="009A56C1">
            <w:pPr>
              <w:jc w:val="center"/>
              <w:rPr>
                <w:color w:val="000000"/>
                <w:sz w:val="20"/>
                <w:szCs w:val="20"/>
              </w:rPr>
            </w:pPr>
            <w:r w:rsidRPr="00B857D5">
              <w:rPr>
                <w:color w:val="000000"/>
                <w:sz w:val="20"/>
                <w:szCs w:val="20"/>
              </w:rPr>
              <w:t xml:space="preserve">$0 </w:t>
            </w:r>
          </w:p>
        </w:tc>
        <w:tc>
          <w:tcPr>
            <w:tcW w:w="1710" w:type="dxa"/>
            <w:tcBorders>
              <w:top w:val="nil"/>
              <w:left w:val="nil"/>
              <w:bottom w:val="single" w:sz="4" w:space="0" w:color="auto"/>
              <w:right w:val="single" w:sz="4" w:space="0" w:color="auto"/>
            </w:tcBorders>
            <w:shd w:val="clear" w:color="auto" w:fill="auto"/>
            <w:noWrap/>
            <w:vAlign w:val="bottom"/>
          </w:tcPr>
          <w:p w14:paraId="01E6FD3A" w14:textId="77777777" w:rsidR="001973CB" w:rsidRPr="005B2AFC" w:rsidRDefault="001973CB" w:rsidP="009A56C1">
            <w:pPr>
              <w:jc w:val="center"/>
              <w:rPr>
                <w:color w:val="000000"/>
                <w:sz w:val="20"/>
                <w:szCs w:val="20"/>
              </w:rPr>
            </w:pPr>
            <w:r w:rsidRPr="00B857D5">
              <w:rPr>
                <w:color w:val="000000"/>
                <w:sz w:val="20"/>
                <w:szCs w:val="20"/>
              </w:rPr>
              <w:t xml:space="preserve">$0 </w:t>
            </w:r>
          </w:p>
        </w:tc>
        <w:tc>
          <w:tcPr>
            <w:tcW w:w="1620" w:type="dxa"/>
            <w:tcBorders>
              <w:top w:val="nil"/>
              <w:left w:val="nil"/>
              <w:bottom w:val="single" w:sz="4" w:space="0" w:color="auto"/>
              <w:right w:val="single" w:sz="8" w:space="0" w:color="auto"/>
            </w:tcBorders>
            <w:shd w:val="clear" w:color="auto" w:fill="auto"/>
            <w:vAlign w:val="bottom"/>
          </w:tcPr>
          <w:p w14:paraId="158D5A70" w14:textId="77777777" w:rsidR="001973CB" w:rsidRPr="005B2AFC" w:rsidRDefault="001973CB" w:rsidP="009A56C1">
            <w:pPr>
              <w:jc w:val="center"/>
              <w:rPr>
                <w:color w:val="000000"/>
                <w:sz w:val="20"/>
                <w:szCs w:val="20"/>
              </w:rPr>
            </w:pPr>
            <w:r w:rsidRPr="002210FD">
              <w:rPr>
                <w:color w:val="000000"/>
                <w:sz w:val="20"/>
                <w:szCs w:val="20"/>
              </w:rPr>
              <w:t xml:space="preserve">$0 </w:t>
            </w:r>
          </w:p>
        </w:tc>
      </w:tr>
      <w:tr w:rsidR="001973CB" w:rsidRPr="00713027" w14:paraId="174F7E1E" w14:textId="77777777" w:rsidTr="009A56C1">
        <w:trPr>
          <w:trHeight w:val="600"/>
        </w:trPr>
        <w:tc>
          <w:tcPr>
            <w:tcW w:w="2255" w:type="dxa"/>
            <w:tcBorders>
              <w:top w:val="single" w:sz="4" w:space="0" w:color="auto"/>
              <w:left w:val="single" w:sz="8" w:space="0" w:color="auto"/>
              <w:bottom w:val="single" w:sz="4" w:space="0" w:color="auto"/>
              <w:right w:val="single" w:sz="4" w:space="0" w:color="000000"/>
            </w:tcBorders>
            <w:shd w:val="clear" w:color="auto" w:fill="auto"/>
            <w:vAlign w:val="bottom"/>
            <w:hideMark/>
          </w:tcPr>
          <w:p w14:paraId="42CA07FE" w14:textId="77777777" w:rsidR="001973CB" w:rsidRPr="00713027" w:rsidRDefault="001973CB" w:rsidP="009A56C1">
            <w:pPr>
              <w:rPr>
                <w:color w:val="000000"/>
              </w:rPr>
            </w:pPr>
            <w:r w:rsidRPr="00713027">
              <w:rPr>
                <w:color w:val="000000"/>
              </w:rPr>
              <w:t>Other Funds</w:t>
            </w:r>
          </w:p>
        </w:tc>
        <w:tc>
          <w:tcPr>
            <w:tcW w:w="1525" w:type="dxa"/>
            <w:tcBorders>
              <w:top w:val="nil"/>
              <w:left w:val="nil"/>
              <w:bottom w:val="single" w:sz="4" w:space="0" w:color="auto"/>
              <w:right w:val="single" w:sz="4" w:space="0" w:color="auto"/>
            </w:tcBorders>
            <w:shd w:val="clear" w:color="auto" w:fill="auto"/>
            <w:noWrap/>
            <w:vAlign w:val="bottom"/>
          </w:tcPr>
          <w:p w14:paraId="5BA17A82" w14:textId="77777777" w:rsidR="001973CB" w:rsidRPr="005B2AFC" w:rsidRDefault="001973CB" w:rsidP="009A56C1">
            <w:pPr>
              <w:jc w:val="center"/>
              <w:rPr>
                <w:color w:val="000000"/>
                <w:sz w:val="20"/>
                <w:szCs w:val="20"/>
              </w:rPr>
            </w:pPr>
            <w:r w:rsidRPr="00B857D5">
              <w:rPr>
                <w:color w:val="000000"/>
                <w:sz w:val="20"/>
                <w:szCs w:val="20"/>
              </w:rPr>
              <w:t xml:space="preserve">$0 </w:t>
            </w:r>
          </w:p>
        </w:tc>
        <w:tc>
          <w:tcPr>
            <w:tcW w:w="1620" w:type="dxa"/>
            <w:tcBorders>
              <w:top w:val="nil"/>
              <w:left w:val="nil"/>
              <w:bottom w:val="single" w:sz="4" w:space="0" w:color="auto"/>
              <w:right w:val="single" w:sz="4" w:space="0" w:color="auto"/>
            </w:tcBorders>
            <w:shd w:val="clear" w:color="auto" w:fill="auto"/>
            <w:noWrap/>
            <w:vAlign w:val="bottom"/>
          </w:tcPr>
          <w:p w14:paraId="5CE5A1E5" w14:textId="77777777" w:rsidR="001973CB" w:rsidRPr="005B2AFC" w:rsidRDefault="001973CB" w:rsidP="009A56C1">
            <w:pPr>
              <w:jc w:val="center"/>
              <w:rPr>
                <w:color w:val="000000"/>
                <w:sz w:val="20"/>
                <w:szCs w:val="20"/>
              </w:rPr>
            </w:pPr>
            <w:r w:rsidRPr="00B857D5">
              <w:rPr>
                <w:color w:val="000000"/>
                <w:sz w:val="20"/>
                <w:szCs w:val="20"/>
              </w:rPr>
              <w:t xml:space="preserve">$0 </w:t>
            </w:r>
          </w:p>
        </w:tc>
        <w:tc>
          <w:tcPr>
            <w:tcW w:w="1530" w:type="dxa"/>
            <w:tcBorders>
              <w:top w:val="nil"/>
              <w:left w:val="nil"/>
              <w:bottom w:val="single" w:sz="4" w:space="0" w:color="auto"/>
              <w:right w:val="single" w:sz="4" w:space="0" w:color="auto"/>
            </w:tcBorders>
            <w:shd w:val="clear" w:color="auto" w:fill="auto"/>
            <w:noWrap/>
            <w:vAlign w:val="bottom"/>
          </w:tcPr>
          <w:p w14:paraId="7080B1C5" w14:textId="77777777" w:rsidR="001973CB" w:rsidRPr="005B2AFC" w:rsidRDefault="001973CB" w:rsidP="009A56C1">
            <w:pPr>
              <w:jc w:val="center"/>
              <w:rPr>
                <w:color w:val="000000"/>
                <w:sz w:val="20"/>
                <w:szCs w:val="20"/>
              </w:rPr>
            </w:pPr>
            <w:r w:rsidRPr="00B857D5">
              <w:rPr>
                <w:color w:val="000000"/>
                <w:sz w:val="20"/>
                <w:szCs w:val="20"/>
              </w:rPr>
              <w:t xml:space="preserve">$0 </w:t>
            </w:r>
          </w:p>
        </w:tc>
        <w:tc>
          <w:tcPr>
            <w:tcW w:w="1710" w:type="dxa"/>
            <w:tcBorders>
              <w:top w:val="nil"/>
              <w:left w:val="nil"/>
              <w:bottom w:val="single" w:sz="4" w:space="0" w:color="auto"/>
              <w:right w:val="single" w:sz="4" w:space="0" w:color="auto"/>
            </w:tcBorders>
            <w:shd w:val="clear" w:color="auto" w:fill="auto"/>
            <w:noWrap/>
            <w:vAlign w:val="bottom"/>
          </w:tcPr>
          <w:p w14:paraId="1430BBC5" w14:textId="77777777" w:rsidR="001973CB" w:rsidRPr="005B2AFC" w:rsidRDefault="001973CB" w:rsidP="009A56C1">
            <w:pPr>
              <w:jc w:val="center"/>
              <w:rPr>
                <w:color w:val="000000"/>
                <w:sz w:val="20"/>
                <w:szCs w:val="20"/>
              </w:rPr>
            </w:pPr>
            <w:r w:rsidRPr="00B857D5">
              <w:rPr>
                <w:color w:val="000000"/>
                <w:sz w:val="20"/>
                <w:szCs w:val="20"/>
              </w:rPr>
              <w:t xml:space="preserve">$0 </w:t>
            </w:r>
          </w:p>
        </w:tc>
        <w:tc>
          <w:tcPr>
            <w:tcW w:w="1620" w:type="dxa"/>
            <w:tcBorders>
              <w:top w:val="nil"/>
              <w:left w:val="nil"/>
              <w:bottom w:val="single" w:sz="4" w:space="0" w:color="auto"/>
              <w:right w:val="single" w:sz="8" w:space="0" w:color="auto"/>
            </w:tcBorders>
            <w:shd w:val="clear" w:color="auto" w:fill="auto"/>
            <w:vAlign w:val="bottom"/>
          </w:tcPr>
          <w:p w14:paraId="2CA028F1" w14:textId="77777777" w:rsidR="001973CB" w:rsidRPr="005B2AFC" w:rsidRDefault="001973CB" w:rsidP="009A56C1">
            <w:pPr>
              <w:jc w:val="center"/>
              <w:rPr>
                <w:color w:val="000000"/>
                <w:sz w:val="20"/>
                <w:szCs w:val="20"/>
              </w:rPr>
            </w:pPr>
            <w:r w:rsidRPr="002210FD">
              <w:rPr>
                <w:color w:val="000000"/>
                <w:sz w:val="20"/>
                <w:szCs w:val="20"/>
              </w:rPr>
              <w:t xml:space="preserve">$0 </w:t>
            </w:r>
          </w:p>
        </w:tc>
      </w:tr>
      <w:tr w:rsidR="001973CB" w:rsidRPr="00713027" w14:paraId="6DD04A43" w14:textId="77777777" w:rsidTr="009A56C1">
        <w:trPr>
          <w:trHeight w:val="600"/>
        </w:trPr>
        <w:tc>
          <w:tcPr>
            <w:tcW w:w="2255" w:type="dxa"/>
            <w:tcBorders>
              <w:top w:val="single" w:sz="4" w:space="0" w:color="auto"/>
              <w:left w:val="single" w:sz="8" w:space="0" w:color="auto"/>
              <w:bottom w:val="single" w:sz="4" w:space="0" w:color="auto"/>
              <w:right w:val="single" w:sz="4" w:space="0" w:color="000000"/>
            </w:tcBorders>
            <w:shd w:val="clear" w:color="auto" w:fill="auto"/>
            <w:vAlign w:val="bottom"/>
            <w:hideMark/>
          </w:tcPr>
          <w:p w14:paraId="5FA61332" w14:textId="77777777" w:rsidR="001973CB" w:rsidRPr="00713027" w:rsidRDefault="001973CB" w:rsidP="009A56C1">
            <w:pPr>
              <w:rPr>
                <w:color w:val="000000"/>
              </w:rPr>
            </w:pPr>
            <w:r w:rsidRPr="00713027">
              <w:rPr>
                <w:color w:val="000000"/>
              </w:rPr>
              <w:t>Interest</w:t>
            </w:r>
          </w:p>
        </w:tc>
        <w:tc>
          <w:tcPr>
            <w:tcW w:w="1525" w:type="dxa"/>
            <w:tcBorders>
              <w:top w:val="nil"/>
              <w:left w:val="nil"/>
              <w:bottom w:val="single" w:sz="4" w:space="0" w:color="auto"/>
              <w:right w:val="single" w:sz="4" w:space="0" w:color="auto"/>
            </w:tcBorders>
            <w:shd w:val="clear" w:color="auto" w:fill="auto"/>
            <w:vAlign w:val="bottom"/>
          </w:tcPr>
          <w:p w14:paraId="013B5E41" w14:textId="77777777" w:rsidR="001973CB" w:rsidRPr="005B2AFC" w:rsidRDefault="001973CB" w:rsidP="009A56C1">
            <w:pPr>
              <w:jc w:val="center"/>
              <w:rPr>
                <w:color w:val="000000"/>
                <w:sz w:val="20"/>
                <w:szCs w:val="20"/>
              </w:rPr>
            </w:pPr>
            <w:r>
              <w:rPr>
                <w:color w:val="000000"/>
                <w:sz w:val="20"/>
                <w:szCs w:val="20"/>
              </w:rPr>
              <w:t xml:space="preserve">$100 </w:t>
            </w:r>
          </w:p>
        </w:tc>
        <w:tc>
          <w:tcPr>
            <w:tcW w:w="1620" w:type="dxa"/>
            <w:tcBorders>
              <w:top w:val="nil"/>
              <w:left w:val="nil"/>
              <w:bottom w:val="single" w:sz="4" w:space="0" w:color="auto"/>
              <w:right w:val="single" w:sz="4" w:space="0" w:color="auto"/>
            </w:tcBorders>
            <w:shd w:val="clear" w:color="auto" w:fill="auto"/>
            <w:vAlign w:val="bottom"/>
          </w:tcPr>
          <w:p w14:paraId="5D9B851B" w14:textId="77777777" w:rsidR="001973CB" w:rsidRPr="005B2AFC" w:rsidRDefault="001973CB" w:rsidP="009A56C1">
            <w:pPr>
              <w:jc w:val="center"/>
              <w:rPr>
                <w:color w:val="000000"/>
                <w:sz w:val="20"/>
                <w:szCs w:val="20"/>
              </w:rPr>
            </w:pPr>
            <w:r>
              <w:rPr>
                <w:color w:val="000000"/>
                <w:sz w:val="20"/>
                <w:szCs w:val="20"/>
              </w:rPr>
              <w:t xml:space="preserve">$100 </w:t>
            </w:r>
          </w:p>
        </w:tc>
        <w:tc>
          <w:tcPr>
            <w:tcW w:w="1530" w:type="dxa"/>
            <w:tcBorders>
              <w:top w:val="nil"/>
              <w:left w:val="nil"/>
              <w:bottom w:val="single" w:sz="4" w:space="0" w:color="auto"/>
              <w:right w:val="single" w:sz="4" w:space="0" w:color="auto"/>
            </w:tcBorders>
            <w:shd w:val="clear" w:color="auto" w:fill="auto"/>
            <w:vAlign w:val="bottom"/>
          </w:tcPr>
          <w:p w14:paraId="324E3E11" w14:textId="77777777" w:rsidR="001973CB" w:rsidRPr="005B2AFC" w:rsidRDefault="001973CB" w:rsidP="009A56C1">
            <w:pPr>
              <w:jc w:val="center"/>
              <w:rPr>
                <w:color w:val="000000"/>
                <w:sz w:val="20"/>
                <w:szCs w:val="20"/>
              </w:rPr>
            </w:pPr>
            <w:r>
              <w:rPr>
                <w:color w:val="000000"/>
                <w:sz w:val="20"/>
                <w:szCs w:val="20"/>
              </w:rPr>
              <w:t xml:space="preserve">$100 </w:t>
            </w:r>
          </w:p>
        </w:tc>
        <w:tc>
          <w:tcPr>
            <w:tcW w:w="1710" w:type="dxa"/>
            <w:tcBorders>
              <w:top w:val="nil"/>
              <w:left w:val="nil"/>
              <w:bottom w:val="single" w:sz="4" w:space="0" w:color="auto"/>
              <w:right w:val="single" w:sz="4" w:space="0" w:color="auto"/>
            </w:tcBorders>
            <w:shd w:val="clear" w:color="auto" w:fill="auto"/>
            <w:vAlign w:val="bottom"/>
          </w:tcPr>
          <w:p w14:paraId="7EAFEEA2" w14:textId="77777777" w:rsidR="001973CB" w:rsidRPr="005B2AFC" w:rsidRDefault="001973CB" w:rsidP="009A56C1">
            <w:pPr>
              <w:jc w:val="center"/>
              <w:rPr>
                <w:color w:val="000000"/>
                <w:sz w:val="20"/>
                <w:szCs w:val="20"/>
              </w:rPr>
            </w:pPr>
            <w:r>
              <w:rPr>
                <w:color w:val="000000"/>
                <w:sz w:val="20"/>
                <w:szCs w:val="20"/>
              </w:rPr>
              <w:t xml:space="preserve">$100 </w:t>
            </w:r>
          </w:p>
        </w:tc>
        <w:tc>
          <w:tcPr>
            <w:tcW w:w="1620" w:type="dxa"/>
            <w:tcBorders>
              <w:top w:val="nil"/>
              <w:left w:val="nil"/>
              <w:bottom w:val="single" w:sz="4" w:space="0" w:color="auto"/>
              <w:right w:val="single" w:sz="8" w:space="0" w:color="auto"/>
            </w:tcBorders>
            <w:shd w:val="clear" w:color="auto" w:fill="auto"/>
            <w:vAlign w:val="bottom"/>
          </w:tcPr>
          <w:p w14:paraId="3E62C299" w14:textId="77777777" w:rsidR="001973CB" w:rsidRPr="005B2AFC" w:rsidRDefault="001973CB" w:rsidP="009A56C1">
            <w:pPr>
              <w:jc w:val="center"/>
              <w:rPr>
                <w:color w:val="000000"/>
                <w:sz w:val="20"/>
                <w:szCs w:val="20"/>
              </w:rPr>
            </w:pPr>
            <w:r w:rsidRPr="00B857D5">
              <w:rPr>
                <w:color w:val="000000"/>
                <w:sz w:val="20"/>
                <w:szCs w:val="20"/>
              </w:rPr>
              <w:t>$400</w:t>
            </w:r>
          </w:p>
        </w:tc>
      </w:tr>
      <w:tr w:rsidR="001973CB" w:rsidRPr="00713027" w14:paraId="3B6F9431" w14:textId="77777777" w:rsidTr="009A56C1">
        <w:trPr>
          <w:trHeight w:val="600"/>
        </w:trPr>
        <w:tc>
          <w:tcPr>
            <w:tcW w:w="2255" w:type="dxa"/>
            <w:tcBorders>
              <w:top w:val="single" w:sz="4" w:space="0" w:color="auto"/>
              <w:left w:val="single" w:sz="8" w:space="0" w:color="auto"/>
              <w:bottom w:val="single" w:sz="8" w:space="0" w:color="auto"/>
              <w:right w:val="single" w:sz="4" w:space="0" w:color="000000"/>
            </w:tcBorders>
            <w:shd w:val="clear" w:color="auto" w:fill="auto"/>
            <w:vAlign w:val="bottom"/>
            <w:hideMark/>
          </w:tcPr>
          <w:p w14:paraId="6ABDCEA5" w14:textId="77777777" w:rsidR="001973CB" w:rsidRPr="00713027" w:rsidRDefault="001973CB" w:rsidP="009A56C1">
            <w:pPr>
              <w:rPr>
                <w:color w:val="000000"/>
              </w:rPr>
            </w:pPr>
            <w:r w:rsidRPr="00713027">
              <w:rPr>
                <w:color w:val="000000"/>
              </w:rPr>
              <w:t>Total</w:t>
            </w:r>
          </w:p>
        </w:tc>
        <w:tc>
          <w:tcPr>
            <w:tcW w:w="1525" w:type="dxa"/>
            <w:tcBorders>
              <w:top w:val="nil"/>
              <w:left w:val="nil"/>
              <w:bottom w:val="single" w:sz="8" w:space="0" w:color="auto"/>
              <w:right w:val="single" w:sz="4" w:space="0" w:color="auto"/>
            </w:tcBorders>
            <w:shd w:val="clear" w:color="auto" w:fill="auto"/>
            <w:vAlign w:val="bottom"/>
          </w:tcPr>
          <w:p w14:paraId="0EAD75C6" w14:textId="77777777" w:rsidR="001973CB" w:rsidRPr="005B2AFC" w:rsidRDefault="001973CB" w:rsidP="009A56C1">
            <w:pPr>
              <w:jc w:val="center"/>
              <w:rPr>
                <w:color w:val="000000"/>
                <w:sz w:val="20"/>
                <w:szCs w:val="20"/>
              </w:rPr>
            </w:pPr>
            <w:r w:rsidRPr="00B857D5">
              <w:rPr>
                <w:color w:val="000000"/>
                <w:sz w:val="20"/>
                <w:szCs w:val="20"/>
              </w:rPr>
              <w:t>$60,</w:t>
            </w:r>
            <w:r>
              <w:rPr>
                <w:color w:val="000000"/>
                <w:sz w:val="20"/>
                <w:szCs w:val="20"/>
              </w:rPr>
              <w:t>100</w:t>
            </w:r>
            <w:r w:rsidRPr="00B857D5">
              <w:rPr>
                <w:color w:val="000000"/>
                <w:sz w:val="20"/>
                <w:szCs w:val="20"/>
              </w:rPr>
              <w:t xml:space="preserve"> </w:t>
            </w:r>
          </w:p>
        </w:tc>
        <w:tc>
          <w:tcPr>
            <w:tcW w:w="1620" w:type="dxa"/>
            <w:tcBorders>
              <w:top w:val="nil"/>
              <w:left w:val="nil"/>
              <w:bottom w:val="single" w:sz="8" w:space="0" w:color="auto"/>
              <w:right w:val="single" w:sz="4" w:space="0" w:color="auto"/>
            </w:tcBorders>
            <w:shd w:val="clear" w:color="auto" w:fill="auto"/>
            <w:vAlign w:val="bottom"/>
          </w:tcPr>
          <w:p w14:paraId="2F8BDAA3" w14:textId="77777777" w:rsidR="001973CB" w:rsidRPr="005B2AFC" w:rsidRDefault="001973CB" w:rsidP="009A56C1">
            <w:pPr>
              <w:jc w:val="center"/>
              <w:rPr>
                <w:color w:val="000000"/>
                <w:sz w:val="20"/>
                <w:szCs w:val="20"/>
              </w:rPr>
            </w:pPr>
            <w:r w:rsidRPr="00B857D5">
              <w:rPr>
                <w:color w:val="000000"/>
                <w:sz w:val="20"/>
                <w:szCs w:val="20"/>
              </w:rPr>
              <w:t>$60,</w:t>
            </w:r>
            <w:r>
              <w:rPr>
                <w:color w:val="000000"/>
                <w:sz w:val="20"/>
                <w:szCs w:val="20"/>
              </w:rPr>
              <w:t>350</w:t>
            </w:r>
          </w:p>
        </w:tc>
        <w:tc>
          <w:tcPr>
            <w:tcW w:w="1530" w:type="dxa"/>
            <w:tcBorders>
              <w:top w:val="nil"/>
              <w:left w:val="nil"/>
              <w:bottom w:val="single" w:sz="8" w:space="0" w:color="auto"/>
              <w:right w:val="single" w:sz="4" w:space="0" w:color="auto"/>
            </w:tcBorders>
            <w:shd w:val="clear" w:color="auto" w:fill="auto"/>
            <w:vAlign w:val="bottom"/>
          </w:tcPr>
          <w:p w14:paraId="234F716A" w14:textId="77777777" w:rsidR="001973CB" w:rsidRPr="005B2AFC" w:rsidRDefault="001973CB" w:rsidP="009A56C1">
            <w:pPr>
              <w:jc w:val="center"/>
              <w:rPr>
                <w:color w:val="000000"/>
                <w:sz w:val="20"/>
                <w:szCs w:val="20"/>
              </w:rPr>
            </w:pPr>
            <w:r w:rsidRPr="00B857D5">
              <w:rPr>
                <w:color w:val="000000"/>
                <w:sz w:val="20"/>
                <w:szCs w:val="20"/>
              </w:rPr>
              <w:t>$60,</w:t>
            </w:r>
            <w:r>
              <w:rPr>
                <w:color w:val="000000"/>
                <w:sz w:val="20"/>
                <w:szCs w:val="20"/>
              </w:rPr>
              <w:t>500</w:t>
            </w:r>
          </w:p>
        </w:tc>
        <w:tc>
          <w:tcPr>
            <w:tcW w:w="1710" w:type="dxa"/>
            <w:tcBorders>
              <w:top w:val="nil"/>
              <w:left w:val="nil"/>
              <w:bottom w:val="single" w:sz="8" w:space="0" w:color="auto"/>
              <w:right w:val="single" w:sz="4" w:space="0" w:color="auto"/>
            </w:tcBorders>
            <w:shd w:val="clear" w:color="auto" w:fill="auto"/>
            <w:vAlign w:val="bottom"/>
          </w:tcPr>
          <w:p w14:paraId="39BEACF3" w14:textId="77777777" w:rsidR="001973CB" w:rsidRPr="005B2AFC" w:rsidRDefault="001973CB" w:rsidP="009A56C1">
            <w:pPr>
              <w:jc w:val="center"/>
              <w:rPr>
                <w:color w:val="000000"/>
                <w:sz w:val="20"/>
                <w:szCs w:val="20"/>
              </w:rPr>
            </w:pPr>
            <w:r w:rsidRPr="00B857D5">
              <w:rPr>
                <w:color w:val="000000"/>
                <w:sz w:val="20"/>
                <w:szCs w:val="20"/>
              </w:rPr>
              <w:t>$60,</w:t>
            </w:r>
            <w:r>
              <w:rPr>
                <w:color w:val="000000"/>
                <w:sz w:val="20"/>
                <w:szCs w:val="20"/>
              </w:rPr>
              <w:t>5</w:t>
            </w:r>
            <w:r w:rsidRPr="00B857D5">
              <w:rPr>
                <w:color w:val="000000"/>
                <w:sz w:val="20"/>
                <w:szCs w:val="20"/>
              </w:rPr>
              <w:t xml:space="preserve">00 </w:t>
            </w:r>
          </w:p>
        </w:tc>
        <w:tc>
          <w:tcPr>
            <w:tcW w:w="1620" w:type="dxa"/>
            <w:tcBorders>
              <w:top w:val="single" w:sz="4" w:space="0" w:color="auto"/>
              <w:left w:val="single" w:sz="4" w:space="0" w:color="auto"/>
              <w:bottom w:val="single" w:sz="8" w:space="0" w:color="auto"/>
              <w:right w:val="single" w:sz="8" w:space="0" w:color="auto"/>
            </w:tcBorders>
            <w:shd w:val="clear" w:color="auto" w:fill="auto"/>
            <w:vAlign w:val="bottom"/>
          </w:tcPr>
          <w:p w14:paraId="62FDBE04" w14:textId="77777777" w:rsidR="001973CB" w:rsidRPr="005B2AFC" w:rsidRDefault="001973CB" w:rsidP="009A56C1">
            <w:pPr>
              <w:jc w:val="center"/>
              <w:rPr>
                <w:color w:val="000000"/>
                <w:sz w:val="20"/>
                <w:szCs w:val="20"/>
              </w:rPr>
            </w:pPr>
            <w:r w:rsidRPr="00B857D5">
              <w:rPr>
                <w:color w:val="000000"/>
                <w:sz w:val="20"/>
                <w:szCs w:val="20"/>
              </w:rPr>
              <w:t>$241,450</w:t>
            </w:r>
          </w:p>
        </w:tc>
      </w:tr>
    </w:tbl>
    <w:p w14:paraId="4294F57D" w14:textId="77777777" w:rsidR="001973CB" w:rsidRDefault="001973CB" w:rsidP="001973CB">
      <w:pPr>
        <w:pStyle w:val="BodyText"/>
        <w:tabs>
          <w:tab w:val="clear" w:pos="118"/>
          <w:tab w:val="clear" w:pos="343"/>
          <w:tab w:val="clear" w:pos="535"/>
          <w:tab w:val="clear" w:pos="10800"/>
        </w:tabs>
        <w:ind w:right="0"/>
        <w:jc w:val="both"/>
      </w:pPr>
    </w:p>
    <w:p w14:paraId="679AA682" w14:textId="77777777" w:rsidR="001973CB" w:rsidRDefault="001973CB" w:rsidP="001973CB">
      <w:pPr>
        <w:tabs>
          <w:tab w:val="left" w:pos="-72"/>
        </w:tabs>
        <w:jc w:val="both"/>
      </w:pPr>
      <w:r>
        <w:t xml:space="preserve">The Borough of Edgewater projects a total </w:t>
      </w:r>
      <w:r w:rsidRPr="005B56FD">
        <w:t xml:space="preserve">of </w:t>
      </w:r>
      <w:r>
        <w:t xml:space="preserve">$241,450 </w:t>
      </w:r>
      <w:r w:rsidRPr="00DF35A2">
        <w:t>i</w:t>
      </w:r>
      <w:r w:rsidRPr="00B55C51">
        <w:t>n</w:t>
      </w:r>
      <w:r>
        <w:t xml:space="preserve"> revenue will be collected between </w:t>
      </w:r>
      <w:r>
        <w:rPr>
          <w:iCs/>
        </w:rPr>
        <w:t xml:space="preserve">January 1, 2022 </w:t>
      </w:r>
      <w:r>
        <w:t xml:space="preserve">and December 31, 2025.  All interest earned on the affordable housing trust funds shall be deposited into the affordable housing trust fund and used only for affordable housing purposes.  </w:t>
      </w:r>
    </w:p>
    <w:p w14:paraId="32F2AADC" w14:textId="77777777" w:rsidR="001973CB" w:rsidRDefault="001973CB" w:rsidP="001973CB">
      <w:pPr>
        <w:tabs>
          <w:tab w:val="left" w:pos="-72"/>
        </w:tabs>
        <w:jc w:val="both"/>
      </w:pPr>
    </w:p>
    <w:p w14:paraId="22918766" w14:textId="77777777" w:rsidR="001973CB" w:rsidRDefault="001973CB" w:rsidP="001973CB">
      <w:pPr>
        <w:tabs>
          <w:tab w:val="left" w:pos="-72"/>
        </w:tabs>
        <w:jc w:val="both"/>
        <w:rPr>
          <w:b/>
        </w:rPr>
      </w:pPr>
      <w:r>
        <w:rPr>
          <w:b/>
        </w:rPr>
        <w:t>2. ADMINISTRATIVE MECHANISM TO COLLECT AND DISTRIBUTE FUNDS</w:t>
      </w:r>
    </w:p>
    <w:p w14:paraId="440426DA" w14:textId="77777777" w:rsidR="001973CB" w:rsidRDefault="001973CB" w:rsidP="001973CB">
      <w:pPr>
        <w:tabs>
          <w:tab w:val="left" w:pos="-72"/>
        </w:tabs>
        <w:jc w:val="both"/>
      </w:pPr>
    </w:p>
    <w:p w14:paraId="6E534804" w14:textId="77777777" w:rsidR="001973CB" w:rsidRDefault="001973CB" w:rsidP="001973CB">
      <w:pPr>
        <w:tabs>
          <w:tab w:val="left" w:pos="-72"/>
        </w:tabs>
        <w:jc w:val="both"/>
      </w:pPr>
      <w:r>
        <w:t>The following procedural sequence for the collection and distribution of development fee revenues shall be followed by the Borough of Edgewater:</w:t>
      </w:r>
    </w:p>
    <w:p w14:paraId="0BFEC4F5" w14:textId="77777777" w:rsidR="001973CB" w:rsidRDefault="001973CB" w:rsidP="001973CB">
      <w:pPr>
        <w:tabs>
          <w:tab w:val="left" w:pos="-72"/>
        </w:tabs>
        <w:jc w:val="both"/>
      </w:pPr>
    </w:p>
    <w:p w14:paraId="47D69616" w14:textId="77777777" w:rsidR="001973CB" w:rsidRDefault="001973CB" w:rsidP="001973CB">
      <w:pPr>
        <w:pStyle w:val="BodyText2"/>
        <w:tabs>
          <w:tab w:val="clear" w:pos="-72"/>
          <w:tab w:val="clear" w:pos="118"/>
          <w:tab w:val="clear" w:pos="343"/>
          <w:tab w:val="clear" w:pos="540"/>
          <w:tab w:val="clear" w:pos="9360"/>
          <w:tab w:val="clear" w:pos="10710"/>
        </w:tabs>
        <w:ind w:left="360" w:hanging="360"/>
        <w:rPr>
          <w:bCs/>
        </w:rPr>
      </w:pPr>
      <w:r>
        <w:t xml:space="preserve">(a)  </w:t>
      </w:r>
      <w:r>
        <w:rPr>
          <w:bCs/>
          <w:u w:val="single"/>
        </w:rPr>
        <w:t>Collection of development fee revenues:</w:t>
      </w:r>
    </w:p>
    <w:p w14:paraId="0E48B4D8" w14:textId="77777777" w:rsidR="001973CB" w:rsidRDefault="001973CB" w:rsidP="001973CB">
      <w:pPr>
        <w:tabs>
          <w:tab w:val="left" w:pos="-72"/>
        </w:tabs>
        <w:ind w:left="720" w:hanging="360"/>
        <w:jc w:val="both"/>
      </w:pPr>
    </w:p>
    <w:p w14:paraId="164E76B2" w14:textId="77777777" w:rsidR="001973CB" w:rsidRDefault="001973CB" w:rsidP="001973CB">
      <w:pPr>
        <w:jc w:val="both"/>
      </w:pPr>
      <w:r>
        <w:t xml:space="preserve">Collection of development fee revenues shall be consistent with the Borough of Edgewater’s development fee ordinance for both residential and non-residential developments in accordance with COAH’s rules and P.L.2008, c.46, sections 8 (C. 52:27D-329.2) and 32-38 (C. 40:55D-8.1 through 8.7).  </w:t>
      </w:r>
    </w:p>
    <w:p w14:paraId="5B2C554B" w14:textId="77777777" w:rsidR="001973CB" w:rsidRDefault="001973CB" w:rsidP="001973CB">
      <w:pPr>
        <w:ind w:left="720"/>
        <w:jc w:val="both"/>
      </w:pPr>
    </w:p>
    <w:p w14:paraId="4ED0F4CA" w14:textId="77777777" w:rsidR="001973CB" w:rsidRDefault="001973CB" w:rsidP="001973CB">
      <w:pPr>
        <w:jc w:val="both"/>
      </w:pPr>
      <w:r>
        <w:t xml:space="preserve">(b)  </w:t>
      </w:r>
      <w:r>
        <w:rPr>
          <w:bCs/>
          <w:u w:val="single"/>
        </w:rPr>
        <w:t>Distribution of development fee revenues</w:t>
      </w:r>
      <w:r>
        <w:rPr>
          <w:bCs/>
        </w:rPr>
        <w:t>:</w:t>
      </w:r>
    </w:p>
    <w:p w14:paraId="414BBB5B" w14:textId="77777777" w:rsidR="001973CB" w:rsidRDefault="001973CB" w:rsidP="001973CB">
      <w:pPr>
        <w:jc w:val="both"/>
      </w:pPr>
    </w:p>
    <w:p w14:paraId="115F60F6" w14:textId="26285EF9" w:rsidR="001973CB" w:rsidRDefault="001973CB" w:rsidP="001973CB">
      <w:pPr>
        <w:pStyle w:val="BodyTextIndent"/>
        <w:ind w:left="0"/>
      </w:pPr>
      <w:r>
        <w:t>The governing body shall adopt a resolution authorizing the expenditure of development fee revenues consistent with the spending plan. Once a request has been approved by resolution, the CFO shall release the requested revenue from the trust fund for the specific use approved in the governing body’s resolution.</w:t>
      </w:r>
    </w:p>
    <w:p w14:paraId="75D03279" w14:textId="4F2D38C1" w:rsidR="001973CB" w:rsidRDefault="001973CB" w:rsidP="001973CB">
      <w:pPr>
        <w:pStyle w:val="BodyTextIndent"/>
        <w:ind w:left="0"/>
      </w:pPr>
    </w:p>
    <w:p w14:paraId="14E71411" w14:textId="7FF97C61" w:rsidR="001973CB" w:rsidRDefault="001973CB" w:rsidP="001973CB">
      <w:pPr>
        <w:pStyle w:val="BodyTextIndent"/>
        <w:ind w:left="0"/>
      </w:pPr>
    </w:p>
    <w:p w14:paraId="21259BE3" w14:textId="3ADA16AD" w:rsidR="001973CB" w:rsidRDefault="001973CB" w:rsidP="001973CB">
      <w:pPr>
        <w:pStyle w:val="BodyTextIndent"/>
        <w:ind w:left="0"/>
      </w:pPr>
    </w:p>
    <w:p w14:paraId="5BA4C210" w14:textId="77777777" w:rsidR="001973CB" w:rsidRPr="004F648E" w:rsidRDefault="001973CB" w:rsidP="001973CB">
      <w:pPr>
        <w:pStyle w:val="BodyTextIndent"/>
        <w:ind w:left="0"/>
      </w:pPr>
    </w:p>
    <w:p w14:paraId="13177B1C" w14:textId="39CDC5C1" w:rsidR="001973CB" w:rsidRDefault="001973CB" w:rsidP="001973CB">
      <w:pPr>
        <w:pStyle w:val="BodyTextIndent3"/>
      </w:pPr>
      <w:r>
        <w:t>3. DESCRIPTION OF ANTICIPATED USE OF AFFORDABLE HOUSING FUNDS</w:t>
      </w:r>
    </w:p>
    <w:p w14:paraId="06DAAE6D" w14:textId="77777777" w:rsidR="001973CB" w:rsidRDefault="001973CB" w:rsidP="001973CB">
      <w:pPr>
        <w:tabs>
          <w:tab w:val="left" w:pos="-72"/>
        </w:tabs>
        <w:jc w:val="both"/>
      </w:pPr>
    </w:p>
    <w:p w14:paraId="0E62497E" w14:textId="77777777" w:rsidR="001973CB" w:rsidRDefault="001973CB" w:rsidP="001973CB">
      <w:pPr>
        <w:numPr>
          <w:ilvl w:val="0"/>
          <w:numId w:val="5"/>
        </w:numPr>
        <w:tabs>
          <w:tab w:val="clear" w:pos="780"/>
          <w:tab w:val="num" w:pos="360"/>
        </w:tabs>
        <w:spacing w:after="0"/>
        <w:ind w:left="0" w:firstLine="0"/>
        <w:jc w:val="both"/>
        <w:rPr>
          <w:b/>
          <w:bCs/>
        </w:rPr>
      </w:pPr>
      <w:r>
        <w:rPr>
          <w:b/>
          <w:bCs/>
        </w:rPr>
        <w:t>Rehabilitation and new construction programs and projects</w:t>
      </w:r>
    </w:p>
    <w:p w14:paraId="6BAA1B98" w14:textId="77777777" w:rsidR="001973CB" w:rsidRDefault="001973CB" w:rsidP="001973CB">
      <w:pPr>
        <w:ind w:left="360"/>
        <w:jc w:val="both"/>
      </w:pPr>
    </w:p>
    <w:p w14:paraId="77F19897" w14:textId="77777777" w:rsidR="001973CB" w:rsidRDefault="001973CB" w:rsidP="001973CB">
      <w:pPr>
        <w:jc w:val="both"/>
      </w:pPr>
      <w:r>
        <w:t>The Borough has two (2) units remaining to complete its rehabilitation obligation.  Pursuant to the August 15, 2022 Consent Order, the Borough will satisfy its remaining rehabilitation obligation through the dedication of additional funding to assist the Edgewater Housing Authority with roof repairs at 27 Dempsey Avenue. The Borough will provide up to $60,000 towards these repairs.</w:t>
      </w:r>
    </w:p>
    <w:p w14:paraId="0A77DB29" w14:textId="77777777" w:rsidR="001973CB" w:rsidRDefault="001973CB" w:rsidP="001973CB">
      <w:pPr>
        <w:jc w:val="both"/>
      </w:pPr>
    </w:p>
    <w:p w14:paraId="331F6293" w14:textId="77777777" w:rsidR="001973CB" w:rsidRDefault="001973CB" w:rsidP="001973CB">
      <w:pPr>
        <w:jc w:val="both"/>
      </w:pPr>
      <w:r w:rsidRPr="00BC75C6">
        <w:rPr>
          <w:bCs/>
        </w:rPr>
        <w:t>(b)</w:t>
      </w:r>
      <w:r w:rsidRPr="00845457">
        <w:rPr>
          <w:bCs/>
        </w:rPr>
        <w:t xml:space="preserve">  </w:t>
      </w:r>
      <w:r>
        <w:rPr>
          <w:b/>
        </w:rPr>
        <w:t>Affordability Assistance</w:t>
      </w:r>
      <w:r w:rsidRPr="004F648E">
        <w:rPr>
          <w:b/>
        </w:rPr>
        <w:t>:</w:t>
      </w:r>
    </w:p>
    <w:p w14:paraId="56158176" w14:textId="77777777" w:rsidR="001973CB" w:rsidRDefault="001973CB" w:rsidP="001973CB">
      <w:pPr>
        <w:tabs>
          <w:tab w:val="left" w:pos="-72"/>
        </w:tabs>
        <w:ind w:left="780"/>
        <w:jc w:val="both"/>
      </w:pPr>
    </w:p>
    <w:p w14:paraId="12146077" w14:textId="77777777" w:rsidR="001973CB" w:rsidRDefault="001973CB" w:rsidP="001973CB">
      <w:pPr>
        <w:tabs>
          <w:tab w:val="left" w:pos="-72"/>
        </w:tabs>
        <w:jc w:val="both"/>
      </w:pPr>
      <w:r>
        <w:t>Projected minimum affordability assistance requirement:</w:t>
      </w:r>
    </w:p>
    <w:p w14:paraId="32C56B7B" w14:textId="77777777" w:rsidR="001973CB" w:rsidRDefault="001973CB" w:rsidP="001973CB">
      <w:pPr>
        <w:tabs>
          <w:tab w:val="left" w:pos="-72"/>
        </w:tabs>
        <w:ind w:left="780"/>
        <w:jc w:val="both"/>
      </w:pPr>
    </w:p>
    <w:tbl>
      <w:tblPr>
        <w:tblpPr w:leftFromText="180" w:rightFromText="180" w:vertAnchor="text" w:horzAnchor="margin" w:tblpY="8"/>
        <w:tblW w:w="8928" w:type="dxa"/>
        <w:tblLook w:val="04A0" w:firstRow="1" w:lastRow="0" w:firstColumn="1" w:lastColumn="0" w:noHBand="0" w:noVBand="1"/>
      </w:tblPr>
      <w:tblGrid>
        <w:gridCol w:w="5868"/>
        <w:gridCol w:w="900"/>
        <w:gridCol w:w="2160"/>
      </w:tblGrid>
      <w:tr w:rsidR="001973CB" w:rsidRPr="00713027" w14:paraId="0959B1F2" w14:textId="77777777" w:rsidTr="009A56C1">
        <w:trPr>
          <w:trHeight w:val="430"/>
        </w:trPr>
        <w:tc>
          <w:tcPr>
            <w:tcW w:w="8928" w:type="dxa"/>
            <w:gridSpan w:val="3"/>
            <w:tcBorders>
              <w:top w:val="single" w:sz="8" w:space="0" w:color="auto"/>
              <w:left w:val="single" w:sz="8" w:space="0" w:color="auto"/>
              <w:bottom w:val="nil"/>
              <w:right w:val="single" w:sz="8" w:space="0" w:color="000000"/>
            </w:tcBorders>
            <w:shd w:val="clear" w:color="000000" w:fill="A5A5A5"/>
            <w:vAlign w:val="bottom"/>
            <w:hideMark/>
          </w:tcPr>
          <w:p w14:paraId="5AB914A4" w14:textId="77777777" w:rsidR="001973CB" w:rsidRPr="00713027" w:rsidRDefault="001973CB" w:rsidP="009A56C1">
            <w:pPr>
              <w:jc w:val="center"/>
              <w:rPr>
                <w:b/>
                <w:bCs/>
                <w:sz w:val="32"/>
                <w:szCs w:val="32"/>
              </w:rPr>
            </w:pPr>
            <w:r>
              <w:rPr>
                <w:b/>
                <w:bCs/>
                <w:sz w:val="32"/>
                <w:szCs w:val="32"/>
              </w:rPr>
              <w:t>Edgewater</w:t>
            </w:r>
            <w:r w:rsidRPr="00713027">
              <w:rPr>
                <w:b/>
                <w:bCs/>
                <w:sz w:val="32"/>
                <w:szCs w:val="32"/>
              </w:rPr>
              <w:t xml:space="preserve"> Projected Minimum Affordability Assistance </w:t>
            </w:r>
          </w:p>
        </w:tc>
      </w:tr>
      <w:tr w:rsidR="001973CB" w:rsidRPr="00713027" w14:paraId="723617A2" w14:textId="77777777" w:rsidTr="009A56C1">
        <w:trPr>
          <w:trHeight w:val="349"/>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10C46A3" w14:textId="77777777" w:rsidR="001973CB" w:rsidRPr="00713027" w:rsidRDefault="001973CB" w:rsidP="009A56C1">
            <w:r w:rsidRPr="00713027">
              <w:t>Actual development fees thr</w:t>
            </w:r>
            <w:r>
              <w:t>ough</w:t>
            </w:r>
            <w:r w:rsidRPr="00713027">
              <w:t xml:space="preserve"> 12/31/</w:t>
            </w:r>
            <w:r>
              <w:t>21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EFEBE1E" w14:textId="77777777" w:rsidR="001973CB" w:rsidRPr="00713027" w:rsidRDefault="001973CB" w:rsidP="009A56C1">
            <w:pPr>
              <w:jc w:val="center"/>
              <w:rPr>
                <w:color w:val="000000"/>
              </w:rPr>
            </w:pPr>
            <w:r w:rsidRPr="00713027">
              <w:rPr>
                <w:color w:val="000000"/>
              </w:rPr>
              <w:t>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6DD07C1B" w14:textId="77777777" w:rsidR="001973CB" w:rsidRPr="00713027" w:rsidRDefault="001973CB" w:rsidP="009A56C1">
            <w:pPr>
              <w:jc w:val="center"/>
              <w:rPr>
                <w:b/>
                <w:bCs/>
              </w:rPr>
            </w:pPr>
            <w:bookmarkStart w:id="1" w:name="_Hlk111816098"/>
            <w:r>
              <w:rPr>
                <w:b/>
                <w:bCs/>
              </w:rPr>
              <w:t>$2,146,474</w:t>
            </w:r>
            <w:bookmarkEnd w:id="1"/>
          </w:p>
        </w:tc>
      </w:tr>
      <w:tr w:rsidR="001973CB" w:rsidRPr="00713027" w14:paraId="3FC1F399" w14:textId="77777777" w:rsidTr="009A56C1">
        <w:trPr>
          <w:trHeight w:val="349"/>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0359D8F" w14:textId="77777777" w:rsidR="001973CB" w:rsidRPr="00713027" w:rsidRDefault="001973CB" w:rsidP="009A56C1">
            <w:r w:rsidRPr="00713027">
              <w:lastRenderedPageBreak/>
              <w:t>Actual interest thru 12/31/</w:t>
            </w:r>
            <w:r>
              <w:t>2021</w:t>
            </w:r>
          </w:p>
        </w:tc>
        <w:tc>
          <w:tcPr>
            <w:tcW w:w="900" w:type="dxa"/>
            <w:tcBorders>
              <w:top w:val="nil"/>
              <w:left w:val="nil"/>
              <w:bottom w:val="single" w:sz="4" w:space="0" w:color="auto"/>
              <w:right w:val="single" w:sz="4" w:space="0" w:color="auto"/>
            </w:tcBorders>
            <w:shd w:val="clear" w:color="auto" w:fill="auto"/>
            <w:noWrap/>
            <w:vAlign w:val="bottom"/>
            <w:hideMark/>
          </w:tcPr>
          <w:p w14:paraId="43EA4C98" w14:textId="77777777" w:rsidR="001973CB" w:rsidRPr="00713027" w:rsidRDefault="001973CB" w:rsidP="009A56C1">
            <w:pPr>
              <w:jc w:val="center"/>
              <w:rPr>
                <w:color w:val="000000"/>
              </w:rPr>
            </w:pPr>
            <w:r w:rsidRPr="00713027">
              <w:rPr>
                <w:color w:val="000000"/>
              </w:rPr>
              <w:t xml:space="preserve">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0E892E4D" w14:textId="77777777" w:rsidR="001973CB" w:rsidRPr="00713027" w:rsidRDefault="001973CB" w:rsidP="009A56C1">
            <w:pPr>
              <w:jc w:val="center"/>
              <w:rPr>
                <w:b/>
                <w:bCs/>
              </w:rPr>
            </w:pPr>
            <w:r>
              <w:rPr>
                <w:b/>
                <w:bCs/>
              </w:rPr>
              <w:t>$114,506</w:t>
            </w:r>
          </w:p>
        </w:tc>
      </w:tr>
      <w:tr w:rsidR="001973CB" w:rsidRPr="00713027" w14:paraId="33C10353" w14:textId="77777777" w:rsidTr="009A56C1">
        <w:trPr>
          <w:trHeight w:val="600"/>
        </w:trPr>
        <w:tc>
          <w:tcPr>
            <w:tcW w:w="5868" w:type="dxa"/>
            <w:tcBorders>
              <w:top w:val="single" w:sz="4" w:space="0" w:color="auto"/>
              <w:left w:val="single" w:sz="8" w:space="0" w:color="auto"/>
              <w:bottom w:val="single" w:sz="4" w:space="0" w:color="auto"/>
              <w:right w:val="single" w:sz="4" w:space="0" w:color="000000"/>
            </w:tcBorders>
            <w:shd w:val="clear" w:color="auto" w:fill="auto"/>
            <w:vAlign w:val="bottom"/>
            <w:hideMark/>
          </w:tcPr>
          <w:p w14:paraId="0EAB1432" w14:textId="77777777" w:rsidR="001973CB" w:rsidRPr="00713027" w:rsidRDefault="001973CB" w:rsidP="009A56C1">
            <w:r w:rsidRPr="00713027">
              <w:t>Payment in Lieu (Do not count for affordability Assistance Calc)</w:t>
            </w:r>
          </w:p>
        </w:tc>
        <w:tc>
          <w:tcPr>
            <w:tcW w:w="900" w:type="dxa"/>
            <w:tcBorders>
              <w:top w:val="nil"/>
              <w:left w:val="nil"/>
              <w:bottom w:val="single" w:sz="4" w:space="0" w:color="auto"/>
              <w:right w:val="single" w:sz="4" w:space="0" w:color="auto"/>
            </w:tcBorders>
            <w:shd w:val="clear" w:color="auto" w:fill="auto"/>
            <w:noWrap/>
            <w:vAlign w:val="bottom"/>
            <w:hideMark/>
          </w:tcPr>
          <w:p w14:paraId="54326CF2" w14:textId="77777777" w:rsidR="001973CB" w:rsidRPr="00713027" w:rsidRDefault="001973CB" w:rsidP="009A56C1">
            <w:pPr>
              <w:jc w:val="center"/>
              <w:rPr>
                <w:color w:val="000000"/>
              </w:rPr>
            </w:pPr>
            <w:r w:rsidRPr="00713027">
              <w:rPr>
                <w:color w:val="000000"/>
              </w:rPr>
              <w:t>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2D8A7541" w14:textId="77777777" w:rsidR="001973CB" w:rsidRPr="00713027" w:rsidRDefault="001973CB" w:rsidP="009A56C1">
            <w:pPr>
              <w:jc w:val="center"/>
              <w:rPr>
                <w:b/>
                <w:bCs/>
              </w:rPr>
            </w:pPr>
            <w:r>
              <w:rPr>
                <w:b/>
                <w:bCs/>
              </w:rPr>
              <w:t>$0</w:t>
            </w:r>
          </w:p>
        </w:tc>
      </w:tr>
      <w:tr w:rsidR="001973CB" w:rsidRPr="00713027" w14:paraId="6D22B357" w14:textId="77777777" w:rsidTr="009A56C1">
        <w:trPr>
          <w:trHeight w:val="600"/>
        </w:trPr>
        <w:tc>
          <w:tcPr>
            <w:tcW w:w="5868" w:type="dxa"/>
            <w:tcBorders>
              <w:top w:val="single" w:sz="4" w:space="0" w:color="auto"/>
              <w:left w:val="single" w:sz="8" w:space="0" w:color="auto"/>
              <w:bottom w:val="single" w:sz="4" w:space="0" w:color="auto"/>
              <w:right w:val="single" w:sz="4" w:space="0" w:color="000000"/>
            </w:tcBorders>
            <w:shd w:val="clear" w:color="auto" w:fill="auto"/>
            <w:vAlign w:val="bottom"/>
            <w:hideMark/>
          </w:tcPr>
          <w:p w14:paraId="0EA95049" w14:textId="77777777" w:rsidR="001973CB" w:rsidRPr="00713027" w:rsidRDefault="001973CB" w:rsidP="009A56C1">
            <w:r>
              <w:t>Township</w:t>
            </w:r>
            <w:r w:rsidRPr="00713027">
              <w:t xml:space="preserve"> Contributions since 1/1/2012 (Do not count for Affordability Assistance Calc)</w:t>
            </w:r>
          </w:p>
        </w:tc>
        <w:tc>
          <w:tcPr>
            <w:tcW w:w="900" w:type="dxa"/>
            <w:tcBorders>
              <w:top w:val="nil"/>
              <w:left w:val="nil"/>
              <w:bottom w:val="single" w:sz="4" w:space="0" w:color="auto"/>
              <w:right w:val="single" w:sz="4" w:space="0" w:color="auto"/>
            </w:tcBorders>
            <w:shd w:val="clear" w:color="auto" w:fill="auto"/>
            <w:noWrap/>
            <w:vAlign w:val="bottom"/>
            <w:hideMark/>
          </w:tcPr>
          <w:p w14:paraId="1079BECA" w14:textId="77777777" w:rsidR="001973CB" w:rsidRPr="00713027" w:rsidRDefault="001973CB" w:rsidP="009A56C1">
            <w:pPr>
              <w:jc w:val="center"/>
              <w:rPr>
                <w:color w:val="000000"/>
              </w:rPr>
            </w:pPr>
            <w:r w:rsidRPr="00713027">
              <w:rPr>
                <w:color w:val="000000"/>
              </w:rPr>
              <w:t>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2998FCB0" w14:textId="77777777" w:rsidR="001973CB" w:rsidRPr="00713027" w:rsidRDefault="001973CB" w:rsidP="009A56C1">
            <w:pPr>
              <w:jc w:val="center"/>
              <w:rPr>
                <w:b/>
                <w:bCs/>
              </w:rPr>
            </w:pPr>
            <w:r>
              <w:rPr>
                <w:b/>
                <w:bCs/>
              </w:rPr>
              <w:t>$0</w:t>
            </w:r>
          </w:p>
        </w:tc>
      </w:tr>
      <w:tr w:rsidR="001973CB" w:rsidRPr="00713027" w14:paraId="1D1BE264" w14:textId="77777777" w:rsidTr="009A56C1">
        <w:trPr>
          <w:trHeight w:val="600"/>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74714C7" w14:textId="77777777" w:rsidR="001973CB" w:rsidRPr="00713027" w:rsidRDefault="001973CB" w:rsidP="009A56C1">
            <w:r w:rsidRPr="00713027">
              <w:t>Projected Development Fees, 1/1/20</w:t>
            </w:r>
            <w:r>
              <w:t>22</w:t>
            </w:r>
            <w:r w:rsidRPr="00713027">
              <w:t xml:space="preserve"> thru 12/31/2025</w:t>
            </w:r>
          </w:p>
        </w:tc>
        <w:tc>
          <w:tcPr>
            <w:tcW w:w="900" w:type="dxa"/>
            <w:tcBorders>
              <w:top w:val="nil"/>
              <w:left w:val="nil"/>
              <w:bottom w:val="single" w:sz="4" w:space="0" w:color="auto"/>
              <w:right w:val="single" w:sz="4" w:space="0" w:color="auto"/>
            </w:tcBorders>
            <w:shd w:val="clear" w:color="auto" w:fill="auto"/>
            <w:noWrap/>
            <w:vAlign w:val="bottom"/>
            <w:hideMark/>
          </w:tcPr>
          <w:p w14:paraId="2CF50005" w14:textId="77777777" w:rsidR="001973CB" w:rsidRPr="00713027" w:rsidRDefault="001973CB" w:rsidP="009A56C1">
            <w:pPr>
              <w:jc w:val="center"/>
              <w:rPr>
                <w:color w:val="000000"/>
              </w:rPr>
            </w:pPr>
            <w:r w:rsidRPr="00713027">
              <w:rPr>
                <w:color w:val="000000"/>
              </w:rPr>
              <w:t xml:space="preserve">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4E0E7E9B" w14:textId="77777777" w:rsidR="001973CB" w:rsidRPr="00713027" w:rsidRDefault="001973CB" w:rsidP="009A56C1">
            <w:pPr>
              <w:jc w:val="center"/>
              <w:rPr>
                <w:b/>
                <w:bCs/>
              </w:rPr>
            </w:pPr>
            <w:r>
              <w:rPr>
                <w:b/>
                <w:bCs/>
              </w:rPr>
              <w:t>$241,050</w:t>
            </w:r>
          </w:p>
        </w:tc>
      </w:tr>
      <w:tr w:rsidR="001973CB" w:rsidRPr="00713027" w14:paraId="59B33C4F" w14:textId="77777777" w:rsidTr="009A56C1">
        <w:trPr>
          <w:trHeight w:val="600"/>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1C8E740" w14:textId="77777777" w:rsidR="001973CB" w:rsidRPr="00713027" w:rsidRDefault="001973CB" w:rsidP="009A56C1">
            <w:r w:rsidRPr="00713027">
              <w:t>Projected Trust Fund Interest, 1/1/20</w:t>
            </w:r>
            <w:r>
              <w:t>22</w:t>
            </w:r>
            <w:r w:rsidRPr="00713027">
              <w:t xml:space="preserve"> thru 12/31/2025</w:t>
            </w:r>
          </w:p>
        </w:tc>
        <w:tc>
          <w:tcPr>
            <w:tcW w:w="900" w:type="dxa"/>
            <w:tcBorders>
              <w:top w:val="nil"/>
              <w:left w:val="nil"/>
              <w:bottom w:val="single" w:sz="4" w:space="0" w:color="auto"/>
              <w:right w:val="single" w:sz="4" w:space="0" w:color="auto"/>
            </w:tcBorders>
            <w:shd w:val="clear" w:color="auto" w:fill="auto"/>
            <w:noWrap/>
            <w:vAlign w:val="bottom"/>
            <w:hideMark/>
          </w:tcPr>
          <w:p w14:paraId="235C62AF" w14:textId="77777777" w:rsidR="001973CB" w:rsidRPr="00713027" w:rsidRDefault="001973CB" w:rsidP="009A56C1">
            <w:pPr>
              <w:jc w:val="center"/>
              <w:rPr>
                <w:color w:val="000000"/>
              </w:rPr>
            </w:pPr>
            <w:r w:rsidRPr="00713027">
              <w:rPr>
                <w:color w:val="000000"/>
              </w:rPr>
              <w:t xml:space="preserve">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2A42A4A6" w14:textId="77777777" w:rsidR="001973CB" w:rsidRPr="00713027" w:rsidRDefault="001973CB" w:rsidP="009A56C1">
            <w:pPr>
              <w:jc w:val="center"/>
              <w:rPr>
                <w:b/>
                <w:bCs/>
              </w:rPr>
            </w:pPr>
            <w:r>
              <w:rPr>
                <w:b/>
                <w:bCs/>
              </w:rPr>
              <w:t>$400</w:t>
            </w:r>
          </w:p>
        </w:tc>
      </w:tr>
      <w:tr w:rsidR="001973CB" w:rsidRPr="00713027" w14:paraId="25BFC416" w14:textId="77777777" w:rsidTr="009A56C1">
        <w:trPr>
          <w:trHeight w:val="340"/>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C1D91E4" w14:textId="77777777" w:rsidR="001973CB" w:rsidRPr="00713027" w:rsidRDefault="001973CB" w:rsidP="009A56C1">
            <w:r w:rsidRPr="00713027">
              <w:t xml:space="preserve">Less housing expenditures </w:t>
            </w:r>
            <w:r w:rsidRPr="00B857D5">
              <w:t>thru 6/2/2008</w:t>
            </w:r>
          </w:p>
        </w:tc>
        <w:tc>
          <w:tcPr>
            <w:tcW w:w="900" w:type="dxa"/>
            <w:tcBorders>
              <w:top w:val="nil"/>
              <w:left w:val="nil"/>
              <w:bottom w:val="single" w:sz="4" w:space="0" w:color="auto"/>
              <w:right w:val="single" w:sz="4" w:space="0" w:color="auto"/>
            </w:tcBorders>
            <w:shd w:val="clear" w:color="auto" w:fill="auto"/>
            <w:noWrap/>
            <w:vAlign w:val="bottom"/>
            <w:hideMark/>
          </w:tcPr>
          <w:p w14:paraId="2572C6F3" w14:textId="77777777" w:rsidR="001973CB" w:rsidRPr="00713027" w:rsidRDefault="001973CB" w:rsidP="009A56C1">
            <w:pPr>
              <w:jc w:val="center"/>
              <w:rPr>
                <w:color w:val="000000"/>
              </w:rPr>
            </w:pPr>
            <w:r w:rsidRPr="00713027">
              <w:rPr>
                <w:color w:val="000000"/>
              </w:rPr>
              <w:t xml:space="preserve">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3F471A11" w14:textId="77777777" w:rsidR="001973CB" w:rsidRPr="00713027" w:rsidRDefault="001973CB" w:rsidP="009A56C1">
            <w:pPr>
              <w:jc w:val="center"/>
              <w:rPr>
                <w:b/>
                <w:bCs/>
              </w:rPr>
            </w:pPr>
            <w:r>
              <w:rPr>
                <w:b/>
                <w:bCs/>
              </w:rPr>
              <w:t>$653,940</w:t>
            </w:r>
          </w:p>
        </w:tc>
      </w:tr>
      <w:tr w:rsidR="001973CB" w:rsidRPr="00713027" w14:paraId="213D7DD0" w14:textId="77777777" w:rsidTr="009A56C1">
        <w:trPr>
          <w:trHeight w:val="600"/>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8D24587" w14:textId="77777777" w:rsidR="001973CB" w:rsidRPr="00713027" w:rsidRDefault="001973CB" w:rsidP="009A56C1">
            <w:r w:rsidRPr="00713027">
              <w:t>TOTAL</w:t>
            </w:r>
          </w:p>
        </w:tc>
        <w:tc>
          <w:tcPr>
            <w:tcW w:w="900" w:type="dxa"/>
            <w:tcBorders>
              <w:top w:val="nil"/>
              <w:left w:val="nil"/>
              <w:bottom w:val="single" w:sz="4" w:space="0" w:color="auto"/>
              <w:right w:val="single" w:sz="4" w:space="0" w:color="auto"/>
            </w:tcBorders>
            <w:shd w:val="clear" w:color="auto" w:fill="auto"/>
            <w:noWrap/>
            <w:vAlign w:val="bottom"/>
            <w:hideMark/>
          </w:tcPr>
          <w:p w14:paraId="45C21519" w14:textId="77777777" w:rsidR="001973CB" w:rsidRPr="00713027" w:rsidRDefault="001973CB" w:rsidP="009A56C1">
            <w:pPr>
              <w:jc w:val="center"/>
              <w:rPr>
                <w:color w:val="000000"/>
              </w:rPr>
            </w:pPr>
            <w:r w:rsidRPr="00713027">
              <w:rPr>
                <w:color w:val="000000"/>
              </w:rPr>
              <w:t>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41B03DBE" w14:textId="77777777" w:rsidR="001973CB" w:rsidRPr="00713027" w:rsidRDefault="001973CB" w:rsidP="009A56C1">
            <w:pPr>
              <w:jc w:val="center"/>
              <w:rPr>
                <w:b/>
                <w:bCs/>
              </w:rPr>
            </w:pPr>
            <w:r>
              <w:rPr>
                <w:b/>
                <w:bCs/>
              </w:rPr>
              <w:t>$1,848,490</w:t>
            </w:r>
          </w:p>
        </w:tc>
      </w:tr>
      <w:tr w:rsidR="001973CB" w:rsidRPr="00713027" w14:paraId="4ED238B8" w14:textId="77777777" w:rsidTr="009A56C1">
        <w:trPr>
          <w:trHeight w:val="367"/>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F105B98" w14:textId="77777777" w:rsidR="001973CB" w:rsidRPr="00713027" w:rsidRDefault="001973CB" w:rsidP="009A56C1">
            <w:r w:rsidRPr="00713027">
              <w:t>30% Requirement</w:t>
            </w:r>
          </w:p>
        </w:tc>
        <w:tc>
          <w:tcPr>
            <w:tcW w:w="900" w:type="dxa"/>
            <w:tcBorders>
              <w:top w:val="nil"/>
              <w:left w:val="nil"/>
              <w:bottom w:val="single" w:sz="4" w:space="0" w:color="auto"/>
              <w:right w:val="single" w:sz="4" w:space="0" w:color="auto"/>
            </w:tcBorders>
            <w:shd w:val="clear" w:color="auto" w:fill="auto"/>
            <w:noWrap/>
            <w:vAlign w:val="bottom"/>
            <w:hideMark/>
          </w:tcPr>
          <w:p w14:paraId="4196B78D" w14:textId="77777777" w:rsidR="001973CB" w:rsidRPr="00713027" w:rsidRDefault="001973CB" w:rsidP="009A56C1">
            <w:pPr>
              <w:jc w:val="center"/>
              <w:rPr>
                <w:color w:val="000000"/>
              </w:rPr>
            </w:pPr>
            <w:r w:rsidRPr="00713027">
              <w:rPr>
                <w:color w:val="000000"/>
              </w:rPr>
              <w:t xml:space="preserve"> x .30</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4E0C7430" w14:textId="77777777" w:rsidR="001973CB" w:rsidRPr="00713027" w:rsidRDefault="001973CB" w:rsidP="009A56C1">
            <w:pPr>
              <w:jc w:val="center"/>
              <w:rPr>
                <w:b/>
                <w:bCs/>
              </w:rPr>
            </w:pPr>
            <w:r>
              <w:rPr>
                <w:b/>
                <w:bCs/>
              </w:rPr>
              <w:t>$554,547</w:t>
            </w:r>
          </w:p>
        </w:tc>
      </w:tr>
      <w:tr w:rsidR="001973CB" w:rsidRPr="00713027" w14:paraId="027F5908" w14:textId="77777777" w:rsidTr="009A56C1">
        <w:trPr>
          <w:trHeight w:val="600"/>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1D6B82B" w14:textId="77777777" w:rsidR="001973CB" w:rsidRPr="00713027" w:rsidRDefault="001973CB" w:rsidP="009A56C1">
            <w:r>
              <w:t>Less Affordability Assistance</w:t>
            </w:r>
            <w:r w:rsidRPr="00713027">
              <w:t xml:space="preserve"> expenditures thru 12/31/</w:t>
            </w:r>
            <w:r>
              <w:t>2021</w:t>
            </w:r>
          </w:p>
        </w:tc>
        <w:tc>
          <w:tcPr>
            <w:tcW w:w="900" w:type="dxa"/>
            <w:tcBorders>
              <w:top w:val="nil"/>
              <w:left w:val="nil"/>
              <w:bottom w:val="single" w:sz="4" w:space="0" w:color="auto"/>
              <w:right w:val="single" w:sz="4" w:space="0" w:color="auto"/>
            </w:tcBorders>
            <w:shd w:val="clear" w:color="auto" w:fill="auto"/>
            <w:noWrap/>
            <w:vAlign w:val="bottom"/>
            <w:hideMark/>
          </w:tcPr>
          <w:p w14:paraId="556434D8" w14:textId="77777777" w:rsidR="001973CB" w:rsidRPr="00713027" w:rsidRDefault="001973CB" w:rsidP="009A56C1">
            <w:pPr>
              <w:jc w:val="center"/>
              <w:rPr>
                <w:color w:val="000000"/>
              </w:rPr>
            </w:pPr>
            <w:r w:rsidRPr="00713027">
              <w:rPr>
                <w:color w:val="000000"/>
              </w:rPr>
              <w:t xml:space="preserve">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004C199D" w14:textId="77777777" w:rsidR="001973CB" w:rsidRPr="00713027" w:rsidRDefault="001973CB" w:rsidP="009A56C1">
            <w:pPr>
              <w:jc w:val="center"/>
              <w:rPr>
                <w:b/>
                <w:bCs/>
              </w:rPr>
            </w:pPr>
            <w:r>
              <w:rPr>
                <w:b/>
                <w:bCs/>
              </w:rPr>
              <w:t>$554,547</w:t>
            </w:r>
          </w:p>
        </w:tc>
      </w:tr>
      <w:tr w:rsidR="001973CB" w:rsidRPr="00713027" w14:paraId="4A7FD708" w14:textId="77777777" w:rsidTr="009A56C1">
        <w:trPr>
          <w:trHeight w:val="600"/>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A8735D6" w14:textId="77777777" w:rsidR="001973CB" w:rsidRPr="00713027" w:rsidRDefault="001973CB" w:rsidP="009A56C1">
            <w:r w:rsidRPr="00713027">
              <w:t>Projected Min Afford</w:t>
            </w:r>
            <w:r>
              <w:t>ability</w:t>
            </w:r>
            <w:r w:rsidRPr="00713027">
              <w:t xml:space="preserve"> Assist</w:t>
            </w:r>
            <w:r>
              <w:t>ance</w:t>
            </w:r>
            <w:r w:rsidRPr="00713027">
              <w:t>, 1/1/20</w:t>
            </w:r>
            <w:r>
              <w:t>21</w:t>
            </w:r>
            <w:r w:rsidRPr="00713027">
              <w:t xml:space="preserve"> thru 12/31/2025</w:t>
            </w:r>
          </w:p>
        </w:tc>
        <w:tc>
          <w:tcPr>
            <w:tcW w:w="900" w:type="dxa"/>
            <w:tcBorders>
              <w:top w:val="nil"/>
              <w:left w:val="nil"/>
              <w:bottom w:val="single" w:sz="4" w:space="0" w:color="auto"/>
              <w:right w:val="single" w:sz="4" w:space="0" w:color="auto"/>
            </w:tcBorders>
            <w:shd w:val="clear" w:color="auto" w:fill="auto"/>
            <w:noWrap/>
            <w:vAlign w:val="bottom"/>
            <w:hideMark/>
          </w:tcPr>
          <w:p w14:paraId="60294837" w14:textId="77777777" w:rsidR="001973CB" w:rsidRPr="00713027" w:rsidRDefault="001973CB" w:rsidP="009A56C1">
            <w:pPr>
              <w:jc w:val="center"/>
              <w:rPr>
                <w:color w:val="000000"/>
              </w:rPr>
            </w:pPr>
            <w:r w:rsidRPr="00713027">
              <w:rPr>
                <w:color w:val="000000"/>
              </w:rPr>
              <w:t xml:space="preserve"> =</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2AC45F11" w14:textId="77777777" w:rsidR="001973CB" w:rsidRPr="00713027" w:rsidRDefault="001973CB" w:rsidP="009A56C1">
            <w:pPr>
              <w:jc w:val="center"/>
              <w:rPr>
                <w:b/>
                <w:bCs/>
              </w:rPr>
            </w:pPr>
            <w:r>
              <w:rPr>
                <w:b/>
                <w:bCs/>
              </w:rPr>
              <w:t>$554,547</w:t>
            </w:r>
          </w:p>
        </w:tc>
      </w:tr>
      <w:tr w:rsidR="001973CB" w:rsidRPr="00713027" w14:paraId="35383E68" w14:textId="77777777" w:rsidTr="009A56C1">
        <w:trPr>
          <w:trHeight w:val="600"/>
        </w:trPr>
        <w:tc>
          <w:tcPr>
            <w:tcW w:w="586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5692F2A" w14:textId="77777777" w:rsidR="001973CB" w:rsidRPr="00713027" w:rsidRDefault="001973CB" w:rsidP="009A56C1">
            <w:r w:rsidRPr="00713027">
              <w:t>P</w:t>
            </w:r>
            <w:r>
              <w:t>rojected Min Affordability Assistance for Very Low Income, 1/1/2021</w:t>
            </w:r>
            <w:r w:rsidRPr="00713027">
              <w:t xml:space="preserve"> thru 12/31/2025</w:t>
            </w:r>
          </w:p>
        </w:tc>
        <w:tc>
          <w:tcPr>
            <w:tcW w:w="900" w:type="dxa"/>
            <w:tcBorders>
              <w:top w:val="nil"/>
              <w:left w:val="nil"/>
              <w:bottom w:val="single" w:sz="4" w:space="0" w:color="auto"/>
              <w:right w:val="single" w:sz="4" w:space="0" w:color="auto"/>
            </w:tcBorders>
            <w:shd w:val="clear" w:color="auto" w:fill="auto"/>
            <w:noWrap/>
            <w:vAlign w:val="bottom"/>
            <w:hideMark/>
          </w:tcPr>
          <w:p w14:paraId="4F432F41" w14:textId="77777777" w:rsidR="001973CB" w:rsidRPr="00713027" w:rsidRDefault="001973CB" w:rsidP="009A56C1">
            <w:pPr>
              <w:jc w:val="center"/>
              <w:rPr>
                <w:color w:val="000000"/>
              </w:rPr>
            </w:pPr>
            <w:r w:rsidRPr="00713027">
              <w:rPr>
                <w:color w:val="000000"/>
              </w:rPr>
              <w:t xml:space="preserve">  x 1/3</w:t>
            </w:r>
          </w:p>
        </w:tc>
        <w:tc>
          <w:tcPr>
            <w:tcW w:w="2160" w:type="dxa"/>
            <w:tcBorders>
              <w:top w:val="single" w:sz="4" w:space="0" w:color="auto"/>
              <w:left w:val="nil"/>
              <w:bottom w:val="single" w:sz="4" w:space="0" w:color="auto"/>
              <w:right w:val="single" w:sz="8" w:space="0" w:color="000000"/>
            </w:tcBorders>
            <w:shd w:val="clear" w:color="auto" w:fill="auto"/>
            <w:noWrap/>
            <w:vAlign w:val="bottom"/>
          </w:tcPr>
          <w:p w14:paraId="5F78B803" w14:textId="77777777" w:rsidR="001973CB" w:rsidRPr="00713027" w:rsidRDefault="001973CB" w:rsidP="009A56C1">
            <w:pPr>
              <w:jc w:val="center"/>
              <w:rPr>
                <w:b/>
                <w:bCs/>
              </w:rPr>
            </w:pPr>
            <w:r>
              <w:rPr>
                <w:b/>
                <w:bCs/>
              </w:rPr>
              <w:t>$0</w:t>
            </w:r>
          </w:p>
        </w:tc>
      </w:tr>
    </w:tbl>
    <w:p w14:paraId="49BEE429" w14:textId="77777777" w:rsidR="001973CB" w:rsidRDefault="001973CB" w:rsidP="001973CB">
      <w:pPr>
        <w:tabs>
          <w:tab w:val="left" w:pos="-72"/>
        </w:tabs>
        <w:ind w:left="180"/>
        <w:jc w:val="both"/>
      </w:pPr>
    </w:p>
    <w:p w14:paraId="3B43E491" w14:textId="77777777" w:rsidR="001973CB" w:rsidRDefault="001973CB" w:rsidP="001973CB">
      <w:pPr>
        <w:autoSpaceDE w:val="0"/>
        <w:autoSpaceDN w:val="0"/>
        <w:adjustRightInd w:val="0"/>
        <w:jc w:val="both"/>
        <w:rPr>
          <w:rFonts w:ascii="TimesNewRoman" w:hAnsi="TimesNewRoman" w:cs="TimesNewRoman"/>
          <w:color w:val="000000"/>
        </w:rPr>
      </w:pPr>
      <w:r>
        <w:t xml:space="preserve">Pursuant to N.J.A.C. 5:97-8.8(a)(2), </w:t>
      </w:r>
      <w:r>
        <w:rPr>
          <w:rFonts w:ascii="TimesNewRoman" w:hAnsi="TimesNewRoman"/>
        </w:rPr>
        <w:t>a</w:t>
      </w:r>
      <w:r>
        <w:rPr>
          <w:rFonts w:ascii="TimesNewRoman" w:hAnsi="TimesNewRoman" w:cs="TimesNewRoman"/>
          <w:color w:val="000000"/>
        </w:rPr>
        <w:t xml:space="preserve">ffordability assistance for very low income households may include offering a subsidy to developers of 100 percent affordable developments.  </w:t>
      </w:r>
      <w:bookmarkStart w:id="2" w:name="_Hlk111979843"/>
    </w:p>
    <w:p w14:paraId="36A46931" w14:textId="77777777" w:rsidR="001973CB" w:rsidRDefault="001973CB" w:rsidP="001973CB">
      <w:pPr>
        <w:numPr>
          <w:ilvl w:val="0"/>
          <w:numId w:val="6"/>
        </w:numPr>
        <w:autoSpaceDE w:val="0"/>
        <w:autoSpaceDN w:val="0"/>
        <w:adjustRightInd w:val="0"/>
        <w:spacing w:after="0"/>
        <w:jc w:val="both"/>
        <w:rPr>
          <w:rFonts w:ascii="TimesNewRoman" w:hAnsi="TimesNewRoman" w:cs="TimesNewRoman"/>
          <w:color w:val="000000"/>
        </w:rPr>
      </w:pPr>
      <w:r>
        <w:rPr>
          <w:rFonts w:ascii="TimesNewRoman" w:hAnsi="TimesNewRoman" w:cs="TimesNewRoman"/>
          <w:color w:val="000000"/>
        </w:rPr>
        <w:t xml:space="preserve">Edgewater provided a $150,000 subsidy to the 38 COAH project in 2011. </w:t>
      </w:r>
    </w:p>
    <w:p w14:paraId="5C644076" w14:textId="77777777" w:rsidR="001973CB" w:rsidRDefault="001973CB" w:rsidP="001973CB">
      <w:pPr>
        <w:numPr>
          <w:ilvl w:val="0"/>
          <w:numId w:val="6"/>
        </w:numPr>
        <w:autoSpaceDE w:val="0"/>
        <w:autoSpaceDN w:val="0"/>
        <w:adjustRightInd w:val="0"/>
        <w:spacing w:after="0"/>
        <w:jc w:val="both"/>
        <w:rPr>
          <w:rFonts w:ascii="TimesNewRoman" w:hAnsi="TimesNewRoman" w:cs="TimesNewRoman"/>
          <w:color w:val="000000"/>
        </w:rPr>
      </w:pPr>
      <w:r>
        <w:rPr>
          <w:rFonts w:ascii="TimesNewRoman" w:hAnsi="TimesNewRoman" w:cs="TimesNewRoman"/>
          <w:color w:val="000000"/>
        </w:rPr>
        <w:t>Edgewater provided a combined total of $295,948 in 2012 to renovate kitchens of affordable tenants living at 300 Undercliff and 27 Dempsey Avenue.</w:t>
      </w:r>
    </w:p>
    <w:p w14:paraId="0D09C989" w14:textId="77777777" w:rsidR="001973CB" w:rsidRDefault="001973CB" w:rsidP="001973CB">
      <w:pPr>
        <w:numPr>
          <w:ilvl w:val="0"/>
          <w:numId w:val="6"/>
        </w:numPr>
        <w:autoSpaceDE w:val="0"/>
        <w:autoSpaceDN w:val="0"/>
        <w:adjustRightInd w:val="0"/>
        <w:spacing w:after="0"/>
        <w:jc w:val="both"/>
        <w:rPr>
          <w:rFonts w:ascii="TimesNewRoman" w:hAnsi="TimesNewRoman" w:cs="TimesNewRoman"/>
          <w:color w:val="000000"/>
        </w:rPr>
      </w:pPr>
      <w:r>
        <w:rPr>
          <w:rFonts w:ascii="TimesNewRoman" w:hAnsi="TimesNewRoman" w:cs="TimesNewRoman"/>
          <w:color w:val="000000"/>
        </w:rPr>
        <w:t xml:space="preserve">In 2012, Edgewater provided a total of $500,000 to Winterburn Gardens, a 100% affordable family rental project.  Of this total, $108,599 is classified as affordability assistance.  </w:t>
      </w:r>
    </w:p>
    <w:p w14:paraId="4B853801" w14:textId="77777777" w:rsidR="001973CB" w:rsidRDefault="001973CB" w:rsidP="001973CB">
      <w:pPr>
        <w:jc w:val="both"/>
        <w:rPr>
          <w:rFonts w:ascii="TimesNewRoman" w:hAnsi="TimesNewRoman" w:cs="TimesNewRoman"/>
          <w:color w:val="000000"/>
        </w:rPr>
      </w:pPr>
    </w:p>
    <w:p w14:paraId="50C250C9" w14:textId="77777777" w:rsidR="001973CB" w:rsidRDefault="001973CB" w:rsidP="001973CB">
      <w:pPr>
        <w:jc w:val="both"/>
        <w:rPr>
          <w:rFonts w:ascii="TimesNewRoman" w:hAnsi="TimesNewRoman" w:cs="TimesNewRoman"/>
          <w:color w:val="000000"/>
        </w:rPr>
      </w:pPr>
      <w:r w:rsidRPr="008C501C">
        <w:rPr>
          <w:rFonts w:ascii="TimesNewRoman" w:hAnsi="TimesNewRoman" w:cs="TimesNewRoman"/>
          <w:color w:val="000000"/>
        </w:rPr>
        <w:t>While the Borough has met its obligation to provide affordability assistance funds, it will dedicate an additional $15,031 in affordability assistance in the form of a One Month’s rental assistance program, to be administered by the Borough’s Administrative Agent.</w:t>
      </w:r>
      <w:r>
        <w:rPr>
          <w:rFonts w:ascii="TimesNewRoman" w:hAnsi="TimesNewRoman" w:cs="TimesNewRoman"/>
          <w:color w:val="000000"/>
        </w:rPr>
        <w:t xml:space="preserve"> </w:t>
      </w:r>
    </w:p>
    <w:p w14:paraId="49A2015E" w14:textId="77777777" w:rsidR="001973CB" w:rsidRDefault="001973CB" w:rsidP="001973CB">
      <w:pPr>
        <w:jc w:val="both"/>
        <w:rPr>
          <w:rFonts w:ascii="TimesNewRoman" w:hAnsi="TimesNewRoman" w:cs="TimesNewRoman"/>
          <w:color w:val="000000"/>
        </w:rPr>
      </w:pPr>
    </w:p>
    <w:bookmarkEnd w:id="2"/>
    <w:p w14:paraId="671B3E86" w14:textId="77777777" w:rsidR="001973CB" w:rsidRDefault="001973CB" w:rsidP="001973CB">
      <w:pPr>
        <w:jc w:val="both"/>
        <w:rPr>
          <w:b/>
        </w:rPr>
      </w:pPr>
      <w:r>
        <w:t xml:space="preserve">(c)  </w:t>
      </w:r>
      <w:r>
        <w:rPr>
          <w:b/>
        </w:rPr>
        <w:t>Administrative Expense</w:t>
      </w:r>
    </w:p>
    <w:p w14:paraId="1B3A908B" w14:textId="77777777" w:rsidR="001973CB" w:rsidRDefault="001973CB" w:rsidP="001973CB">
      <w:pPr>
        <w:jc w:val="both"/>
      </w:pPr>
    </w:p>
    <w:p w14:paraId="30C7F39F" w14:textId="77777777" w:rsidR="001973CB" w:rsidRDefault="001973CB" w:rsidP="001973CB">
      <w:pPr>
        <w:jc w:val="both"/>
      </w:pPr>
      <w:r>
        <w:t xml:space="preserve">Projected maximum administrative expense calculation:  </w:t>
      </w:r>
    </w:p>
    <w:p w14:paraId="01D9ED69" w14:textId="77777777" w:rsidR="001973CB" w:rsidRPr="00866D2A" w:rsidRDefault="001973CB" w:rsidP="001973CB">
      <w:pPr>
        <w:rPr>
          <w:vanish/>
        </w:rPr>
      </w:pPr>
    </w:p>
    <w:tbl>
      <w:tblPr>
        <w:tblpPr w:leftFromText="180" w:rightFromText="180" w:vertAnchor="page" w:horzAnchor="margin" w:tblpY="5633"/>
        <w:tblW w:w="9090" w:type="dxa"/>
        <w:tblLook w:val="04A0" w:firstRow="1" w:lastRow="0" w:firstColumn="1" w:lastColumn="0" w:noHBand="0" w:noVBand="1"/>
      </w:tblPr>
      <w:tblGrid>
        <w:gridCol w:w="4428"/>
        <w:gridCol w:w="842"/>
        <w:gridCol w:w="3820"/>
      </w:tblGrid>
      <w:tr w:rsidR="001973CB" w:rsidRPr="0074044E" w14:paraId="5A099649" w14:textId="77777777" w:rsidTr="009A56C1">
        <w:trPr>
          <w:trHeight w:val="600"/>
        </w:trPr>
        <w:tc>
          <w:tcPr>
            <w:tcW w:w="9090" w:type="dxa"/>
            <w:gridSpan w:val="3"/>
            <w:tcBorders>
              <w:top w:val="single" w:sz="8" w:space="0" w:color="auto"/>
              <w:left w:val="single" w:sz="8" w:space="0" w:color="auto"/>
              <w:bottom w:val="nil"/>
              <w:right w:val="single" w:sz="8" w:space="0" w:color="000000"/>
            </w:tcBorders>
            <w:shd w:val="clear" w:color="000000" w:fill="A5A5A5"/>
            <w:vAlign w:val="bottom"/>
            <w:hideMark/>
          </w:tcPr>
          <w:p w14:paraId="20759609" w14:textId="77777777" w:rsidR="001973CB" w:rsidRPr="0074044E" w:rsidRDefault="001973CB" w:rsidP="009A56C1">
            <w:pPr>
              <w:jc w:val="center"/>
              <w:rPr>
                <w:b/>
                <w:bCs/>
                <w:sz w:val="32"/>
                <w:szCs w:val="32"/>
              </w:rPr>
            </w:pPr>
            <w:r>
              <w:rPr>
                <w:b/>
                <w:bCs/>
                <w:sz w:val="32"/>
                <w:szCs w:val="32"/>
              </w:rPr>
              <w:t>Edgewater</w:t>
            </w:r>
            <w:r w:rsidRPr="0074044E">
              <w:rPr>
                <w:b/>
                <w:bCs/>
                <w:sz w:val="32"/>
                <w:szCs w:val="32"/>
              </w:rPr>
              <w:t xml:space="preserve"> Maximum Administrative Expense Calculation</w:t>
            </w:r>
          </w:p>
        </w:tc>
      </w:tr>
      <w:tr w:rsidR="001973CB" w:rsidRPr="0074044E" w14:paraId="09972AB6" w14:textId="77777777" w:rsidTr="009A56C1">
        <w:trPr>
          <w:trHeight w:val="600"/>
        </w:trPr>
        <w:tc>
          <w:tcPr>
            <w:tcW w:w="442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CD75625" w14:textId="77777777" w:rsidR="001973CB" w:rsidRPr="0074044E" w:rsidRDefault="001973CB" w:rsidP="009A56C1">
            <w:r w:rsidRPr="0074044E">
              <w:t>Actual development fees and interest thru 12/31/20</w:t>
            </w:r>
            <w:r>
              <w:t>21</w:t>
            </w:r>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14:paraId="2C10AB4D" w14:textId="77777777" w:rsidR="001973CB" w:rsidRPr="0074044E" w:rsidRDefault="001973CB" w:rsidP="009A56C1">
            <w:pPr>
              <w:rPr>
                <w:color w:val="000000"/>
                <w:sz w:val="16"/>
                <w:szCs w:val="16"/>
              </w:rPr>
            </w:pPr>
            <w:r w:rsidRPr="0074044E">
              <w:rPr>
                <w:color w:val="000000"/>
                <w:sz w:val="16"/>
                <w:szCs w:val="16"/>
              </w:rPr>
              <w:t> </w:t>
            </w:r>
          </w:p>
        </w:tc>
        <w:tc>
          <w:tcPr>
            <w:tcW w:w="3820" w:type="dxa"/>
            <w:tcBorders>
              <w:top w:val="single" w:sz="4" w:space="0" w:color="auto"/>
              <w:left w:val="nil"/>
              <w:bottom w:val="single" w:sz="4" w:space="0" w:color="auto"/>
              <w:right w:val="single" w:sz="8" w:space="0" w:color="000000"/>
            </w:tcBorders>
            <w:shd w:val="clear" w:color="auto" w:fill="auto"/>
            <w:noWrap/>
            <w:vAlign w:val="bottom"/>
          </w:tcPr>
          <w:p w14:paraId="168864FE" w14:textId="77777777" w:rsidR="001973CB" w:rsidRPr="00713027" w:rsidRDefault="001973CB" w:rsidP="009A56C1">
            <w:pPr>
              <w:jc w:val="center"/>
              <w:rPr>
                <w:b/>
                <w:bCs/>
              </w:rPr>
            </w:pPr>
            <w:r>
              <w:rPr>
                <w:b/>
                <w:bCs/>
              </w:rPr>
              <w:t>$2,260,980</w:t>
            </w:r>
          </w:p>
        </w:tc>
      </w:tr>
      <w:tr w:rsidR="001973CB" w:rsidRPr="0074044E" w14:paraId="2431CACE" w14:textId="77777777" w:rsidTr="009A56C1">
        <w:trPr>
          <w:trHeight w:val="600"/>
        </w:trPr>
        <w:tc>
          <w:tcPr>
            <w:tcW w:w="442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74E31B5" w14:textId="77777777" w:rsidR="001973CB" w:rsidRPr="0074044E" w:rsidRDefault="001973CB" w:rsidP="009A56C1">
            <w:r w:rsidRPr="0074044E">
              <w:t>Projected Development Fees and interest 1/1/20</w:t>
            </w:r>
            <w:r>
              <w:t>21</w:t>
            </w:r>
            <w:r w:rsidRPr="0074044E">
              <w:t xml:space="preserve"> thru 12/31/2025</w:t>
            </w:r>
          </w:p>
        </w:tc>
        <w:tc>
          <w:tcPr>
            <w:tcW w:w="842" w:type="dxa"/>
            <w:tcBorders>
              <w:top w:val="nil"/>
              <w:left w:val="nil"/>
              <w:bottom w:val="single" w:sz="4" w:space="0" w:color="auto"/>
              <w:right w:val="single" w:sz="4" w:space="0" w:color="auto"/>
            </w:tcBorders>
            <w:shd w:val="clear" w:color="auto" w:fill="auto"/>
            <w:noWrap/>
            <w:vAlign w:val="bottom"/>
            <w:hideMark/>
          </w:tcPr>
          <w:p w14:paraId="5DD598F6" w14:textId="77777777" w:rsidR="001973CB" w:rsidRPr="0074044E" w:rsidRDefault="001973CB" w:rsidP="009A56C1">
            <w:r w:rsidRPr="0074044E">
              <w:t xml:space="preserve"> +</w:t>
            </w:r>
          </w:p>
        </w:tc>
        <w:tc>
          <w:tcPr>
            <w:tcW w:w="3820" w:type="dxa"/>
            <w:tcBorders>
              <w:top w:val="single" w:sz="4" w:space="0" w:color="auto"/>
              <w:left w:val="nil"/>
              <w:bottom w:val="single" w:sz="4" w:space="0" w:color="auto"/>
              <w:right w:val="single" w:sz="8" w:space="0" w:color="000000"/>
            </w:tcBorders>
            <w:shd w:val="clear" w:color="auto" w:fill="auto"/>
            <w:noWrap/>
            <w:vAlign w:val="bottom"/>
          </w:tcPr>
          <w:p w14:paraId="6659F5A6" w14:textId="77777777" w:rsidR="001973CB" w:rsidRPr="00713027" w:rsidRDefault="001973CB" w:rsidP="009A56C1">
            <w:pPr>
              <w:jc w:val="center"/>
              <w:rPr>
                <w:b/>
                <w:bCs/>
              </w:rPr>
            </w:pPr>
            <w:r>
              <w:rPr>
                <w:b/>
                <w:bCs/>
              </w:rPr>
              <w:t>$241,450</w:t>
            </w:r>
          </w:p>
        </w:tc>
      </w:tr>
      <w:tr w:rsidR="001973CB" w:rsidRPr="0074044E" w14:paraId="07A9CF07" w14:textId="77777777" w:rsidTr="009A56C1">
        <w:trPr>
          <w:trHeight w:val="600"/>
        </w:trPr>
        <w:tc>
          <w:tcPr>
            <w:tcW w:w="4428" w:type="dxa"/>
            <w:tcBorders>
              <w:top w:val="single" w:sz="4" w:space="0" w:color="auto"/>
              <w:left w:val="single" w:sz="8" w:space="0" w:color="auto"/>
              <w:bottom w:val="single" w:sz="4" w:space="0" w:color="auto"/>
              <w:right w:val="single" w:sz="4" w:space="0" w:color="000000"/>
            </w:tcBorders>
            <w:shd w:val="clear" w:color="auto" w:fill="auto"/>
            <w:vAlign w:val="bottom"/>
            <w:hideMark/>
          </w:tcPr>
          <w:p w14:paraId="253E1116" w14:textId="77777777" w:rsidR="001973CB" w:rsidRPr="0074044E" w:rsidRDefault="001973CB" w:rsidP="009A56C1">
            <w:r w:rsidRPr="0074044E">
              <w:t xml:space="preserve">Payment in </w:t>
            </w:r>
            <w:proofErr w:type="spellStart"/>
            <w:r w:rsidRPr="0074044E">
              <w:t>Lieus</w:t>
            </w:r>
            <w:proofErr w:type="spellEnd"/>
            <w:r w:rsidRPr="0074044E">
              <w:t xml:space="preserve"> (Do not count for admin Calc)</w:t>
            </w:r>
          </w:p>
        </w:tc>
        <w:tc>
          <w:tcPr>
            <w:tcW w:w="842" w:type="dxa"/>
            <w:tcBorders>
              <w:top w:val="nil"/>
              <w:left w:val="nil"/>
              <w:bottom w:val="single" w:sz="4" w:space="0" w:color="auto"/>
              <w:right w:val="single" w:sz="4" w:space="0" w:color="auto"/>
            </w:tcBorders>
            <w:shd w:val="clear" w:color="auto" w:fill="auto"/>
            <w:noWrap/>
            <w:vAlign w:val="bottom"/>
            <w:hideMark/>
          </w:tcPr>
          <w:p w14:paraId="59224112" w14:textId="77777777" w:rsidR="001973CB" w:rsidRPr="0074044E" w:rsidRDefault="001973CB" w:rsidP="009A56C1">
            <w:r w:rsidRPr="0074044E">
              <w:t> </w:t>
            </w:r>
          </w:p>
        </w:tc>
        <w:tc>
          <w:tcPr>
            <w:tcW w:w="3820" w:type="dxa"/>
            <w:tcBorders>
              <w:top w:val="single" w:sz="4" w:space="0" w:color="auto"/>
              <w:left w:val="nil"/>
              <w:bottom w:val="single" w:sz="4" w:space="0" w:color="auto"/>
              <w:right w:val="single" w:sz="8" w:space="0" w:color="000000"/>
            </w:tcBorders>
            <w:shd w:val="clear" w:color="auto" w:fill="auto"/>
            <w:noWrap/>
            <w:vAlign w:val="bottom"/>
            <w:hideMark/>
          </w:tcPr>
          <w:p w14:paraId="122745B4" w14:textId="77777777" w:rsidR="001973CB" w:rsidRPr="006A01DC" w:rsidRDefault="001973CB" w:rsidP="009A56C1">
            <w:pPr>
              <w:jc w:val="center"/>
              <w:rPr>
                <w:b/>
                <w:bCs/>
              </w:rPr>
            </w:pPr>
            <w:r w:rsidRPr="00CD29B5">
              <w:rPr>
                <w:b/>
                <w:bCs/>
              </w:rPr>
              <w:t>$</w:t>
            </w:r>
            <w:r>
              <w:rPr>
                <w:b/>
                <w:bCs/>
              </w:rPr>
              <w:t>0</w:t>
            </w:r>
          </w:p>
        </w:tc>
      </w:tr>
      <w:tr w:rsidR="001973CB" w:rsidRPr="0074044E" w14:paraId="15ED4A71" w14:textId="77777777" w:rsidTr="009A56C1">
        <w:trPr>
          <w:trHeight w:val="600"/>
        </w:trPr>
        <w:tc>
          <w:tcPr>
            <w:tcW w:w="442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87801B5" w14:textId="77777777" w:rsidR="001973CB" w:rsidRPr="0074044E" w:rsidRDefault="001973CB" w:rsidP="009A56C1">
            <w:r w:rsidRPr="0074044E">
              <w:t xml:space="preserve">    Less RCA expenditures thru 12/31/25</w:t>
            </w:r>
          </w:p>
        </w:tc>
        <w:tc>
          <w:tcPr>
            <w:tcW w:w="842" w:type="dxa"/>
            <w:tcBorders>
              <w:top w:val="nil"/>
              <w:left w:val="nil"/>
              <w:bottom w:val="single" w:sz="4" w:space="0" w:color="auto"/>
              <w:right w:val="single" w:sz="4" w:space="0" w:color="auto"/>
            </w:tcBorders>
            <w:shd w:val="clear" w:color="auto" w:fill="auto"/>
            <w:noWrap/>
            <w:vAlign w:val="bottom"/>
            <w:hideMark/>
          </w:tcPr>
          <w:p w14:paraId="4EE63F24" w14:textId="77777777" w:rsidR="001973CB" w:rsidRPr="0074044E" w:rsidRDefault="001973CB" w:rsidP="009A56C1">
            <w:r w:rsidRPr="0074044E">
              <w:t xml:space="preserve"> -</w:t>
            </w:r>
          </w:p>
        </w:tc>
        <w:tc>
          <w:tcPr>
            <w:tcW w:w="3820" w:type="dxa"/>
            <w:tcBorders>
              <w:top w:val="single" w:sz="4" w:space="0" w:color="auto"/>
              <w:left w:val="nil"/>
              <w:bottom w:val="single" w:sz="4" w:space="0" w:color="auto"/>
              <w:right w:val="single" w:sz="8" w:space="0" w:color="000000"/>
            </w:tcBorders>
            <w:shd w:val="clear" w:color="auto" w:fill="auto"/>
            <w:noWrap/>
            <w:vAlign w:val="bottom"/>
            <w:hideMark/>
          </w:tcPr>
          <w:p w14:paraId="72111F5E" w14:textId="77777777" w:rsidR="001973CB" w:rsidRPr="006A01DC" w:rsidRDefault="001973CB" w:rsidP="009A56C1">
            <w:pPr>
              <w:jc w:val="center"/>
              <w:rPr>
                <w:b/>
                <w:bCs/>
              </w:rPr>
            </w:pPr>
            <w:r>
              <w:rPr>
                <w:b/>
                <w:bCs/>
              </w:rPr>
              <w:t>$0</w:t>
            </w:r>
          </w:p>
        </w:tc>
      </w:tr>
      <w:tr w:rsidR="001973CB" w:rsidRPr="0074044E" w14:paraId="27460CD2" w14:textId="77777777" w:rsidTr="009A56C1">
        <w:trPr>
          <w:trHeight w:val="600"/>
        </w:trPr>
        <w:tc>
          <w:tcPr>
            <w:tcW w:w="442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B4D9D1A" w14:textId="77777777" w:rsidR="001973CB" w:rsidRPr="0074044E" w:rsidRDefault="001973CB" w:rsidP="009A56C1">
            <w:r w:rsidRPr="0074044E">
              <w:t>Total</w:t>
            </w:r>
            <w:r>
              <w:t xml:space="preserve"> For Admin. Calculation, 1/1/2021</w:t>
            </w:r>
            <w:r w:rsidRPr="0074044E">
              <w:t xml:space="preserve"> thru 2025</w:t>
            </w:r>
          </w:p>
        </w:tc>
        <w:tc>
          <w:tcPr>
            <w:tcW w:w="842" w:type="dxa"/>
            <w:tcBorders>
              <w:top w:val="nil"/>
              <w:left w:val="nil"/>
              <w:bottom w:val="single" w:sz="4" w:space="0" w:color="auto"/>
              <w:right w:val="single" w:sz="4" w:space="0" w:color="auto"/>
            </w:tcBorders>
            <w:shd w:val="clear" w:color="auto" w:fill="auto"/>
            <w:noWrap/>
            <w:vAlign w:val="bottom"/>
            <w:hideMark/>
          </w:tcPr>
          <w:p w14:paraId="7B90D64B" w14:textId="77777777" w:rsidR="001973CB" w:rsidRPr="0074044E" w:rsidRDefault="001973CB" w:rsidP="009A56C1">
            <w:r w:rsidRPr="0074044E">
              <w:t xml:space="preserve"> =</w:t>
            </w:r>
          </w:p>
        </w:tc>
        <w:tc>
          <w:tcPr>
            <w:tcW w:w="3820" w:type="dxa"/>
            <w:tcBorders>
              <w:top w:val="single" w:sz="4" w:space="0" w:color="auto"/>
              <w:left w:val="nil"/>
              <w:bottom w:val="single" w:sz="4" w:space="0" w:color="auto"/>
              <w:right w:val="single" w:sz="8" w:space="0" w:color="000000"/>
            </w:tcBorders>
            <w:shd w:val="clear" w:color="auto" w:fill="auto"/>
            <w:noWrap/>
            <w:vAlign w:val="bottom"/>
          </w:tcPr>
          <w:p w14:paraId="7E79F201" w14:textId="77777777" w:rsidR="001973CB" w:rsidRPr="006A01DC" w:rsidRDefault="001973CB" w:rsidP="009A56C1">
            <w:pPr>
              <w:jc w:val="center"/>
              <w:rPr>
                <w:b/>
                <w:bCs/>
              </w:rPr>
            </w:pPr>
            <w:r>
              <w:rPr>
                <w:b/>
                <w:bCs/>
              </w:rPr>
              <w:t>$2,502,430</w:t>
            </w:r>
          </w:p>
        </w:tc>
      </w:tr>
      <w:tr w:rsidR="001973CB" w:rsidRPr="0074044E" w14:paraId="0BB46BD5" w14:textId="77777777" w:rsidTr="009A56C1">
        <w:trPr>
          <w:trHeight w:val="600"/>
        </w:trPr>
        <w:tc>
          <w:tcPr>
            <w:tcW w:w="442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566A2E4" w14:textId="77777777" w:rsidR="001973CB" w:rsidRPr="0074044E" w:rsidRDefault="001973CB" w:rsidP="009A56C1">
            <w:r w:rsidRPr="0074044E">
              <w:t>20% Maximum for Admin Expense</w:t>
            </w:r>
          </w:p>
        </w:tc>
        <w:tc>
          <w:tcPr>
            <w:tcW w:w="842" w:type="dxa"/>
            <w:tcBorders>
              <w:top w:val="nil"/>
              <w:left w:val="nil"/>
              <w:bottom w:val="single" w:sz="4" w:space="0" w:color="auto"/>
              <w:right w:val="single" w:sz="4" w:space="0" w:color="auto"/>
            </w:tcBorders>
            <w:shd w:val="clear" w:color="auto" w:fill="auto"/>
            <w:noWrap/>
            <w:vAlign w:val="bottom"/>
            <w:hideMark/>
          </w:tcPr>
          <w:p w14:paraId="0D83CD10" w14:textId="77777777" w:rsidR="001973CB" w:rsidRPr="0074044E" w:rsidRDefault="001973CB" w:rsidP="009A56C1">
            <w:r w:rsidRPr="0074044E">
              <w:t xml:space="preserve"> x .20</w:t>
            </w:r>
          </w:p>
        </w:tc>
        <w:tc>
          <w:tcPr>
            <w:tcW w:w="3820" w:type="dxa"/>
            <w:tcBorders>
              <w:top w:val="single" w:sz="4" w:space="0" w:color="auto"/>
              <w:left w:val="nil"/>
              <w:bottom w:val="single" w:sz="4" w:space="0" w:color="auto"/>
              <w:right w:val="single" w:sz="8" w:space="0" w:color="000000"/>
            </w:tcBorders>
            <w:shd w:val="clear" w:color="auto" w:fill="auto"/>
            <w:noWrap/>
            <w:vAlign w:val="bottom"/>
          </w:tcPr>
          <w:p w14:paraId="145E9630" w14:textId="77777777" w:rsidR="001973CB" w:rsidRPr="006A01DC" w:rsidRDefault="001973CB" w:rsidP="009A56C1">
            <w:pPr>
              <w:jc w:val="center"/>
              <w:rPr>
                <w:b/>
                <w:bCs/>
              </w:rPr>
            </w:pPr>
            <w:r>
              <w:rPr>
                <w:b/>
                <w:bCs/>
              </w:rPr>
              <w:t>$500,486</w:t>
            </w:r>
          </w:p>
        </w:tc>
      </w:tr>
      <w:tr w:rsidR="001973CB" w:rsidRPr="0074044E" w14:paraId="196952A6" w14:textId="77777777" w:rsidTr="009A56C1">
        <w:trPr>
          <w:trHeight w:val="600"/>
        </w:trPr>
        <w:tc>
          <w:tcPr>
            <w:tcW w:w="442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3998D4B" w14:textId="77777777" w:rsidR="001973CB" w:rsidRPr="0074044E" w:rsidRDefault="001973CB" w:rsidP="009A56C1">
            <w:r w:rsidRPr="0074044E">
              <w:t xml:space="preserve">     Less Admin thru 12/31/20</w:t>
            </w:r>
            <w:r>
              <w:t>21</w:t>
            </w:r>
          </w:p>
        </w:tc>
        <w:tc>
          <w:tcPr>
            <w:tcW w:w="842" w:type="dxa"/>
            <w:tcBorders>
              <w:top w:val="nil"/>
              <w:left w:val="nil"/>
              <w:bottom w:val="single" w:sz="4" w:space="0" w:color="auto"/>
              <w:right w:val="single" w:sz="4" w:space="0" w:color="auto"/>
            </w:tcBorders>
            <w:shd w:val="clear" w:color="auto" w:fill="auto"/>
            <w:noWrap/>
            <w:vAlign w:val="bottom"/>
            <w:hideMark/>
          </w:tcPr>
          <w:p w14:paraId="54CE3197" w14:textId="77777777" w:rsidR="001973CB" w:rsidRPr="0074044E" w:rsidRDefault="001973CB" w:rsidP="009A56C1">
            <w:r w:rsidRPr="0074044E">
              <w:t xml:space="preserve"> -</w:t>
            </w:r>
          </w:p>
        </w:tc>
        <w:tc>
          <w:tcPr>
            <w:tcW w:w="3820" w:type="dxa"/>
            <w:tcBorders>
              <w:top w:val="single" w:sz="4" w:space="0" w:color="auto"/>
              <w:left w:val="nil"/>
              <w:bottom w:val="single" w:sz="4" w:space="0" w:color="auto"/>
              <w:right w:val="single" w:sz="8" w:space="0" w:color="000000"/>
            </w:tcBorders>
            <w:shd w:val="clear" w:color="auto" w:fill="auto"/>
            <w:noWrap/>
            <w:vAlign w:val="bottom"/>
          </w:tcPr>
          <w:p w14:paraId="0551424E" w14:textId="77777777" w:rsidR="001973CB" w:rsidRPr="0074044E" w:rsidRDefault="001973CB" w:rsidP="009A56C1">
            <w:pPr>
              <w:jc w:val="center"/>
              <w:rPr>
                <w:b/>
                <w:bCs/>
              </w:rPr>
            </w:pPr>
            <w:r>
              <w:rPr>
                <w:b/>
                <w:bCs/>
              </w:rPr>
              <w:t>$271,489</w:t>
            </w:r>
          </w:p>
        </w:tc>
      </w:tr>
      <w:tr w:rsidR="001973CB" w:rsidRPr="0074044E" w14:paraId="0A7B3B9C" w14:textId="77777777" w:rsidTr="009A56C1">
        <w:trPr>
          <w:trHeight w:val="600"/>
        </w:trPr>
        <w:tc>
          <w:tcPr>
            <w:tcW w:w="442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8947980" w14:textId="77777777" w:rsidR="001973CB" w:rsidRPr="0074044E" w:rsidRDefault="001973CB" w:rsidP="009A56C1">
            <w:r w:rsidRPr="0074044E">
              <w:t>Available for Admin 1/1/20</w:t>
            </w:r>
            <w:r>
              <w:t>21</w:t>
            </w:r>
            <w:r w:rsidRPr="0074044E">
              <w:t xml:space="preserve"> Thru 12/31/2025</w:t>
            </w:r>
          </w:p>
        </w:tc>
        <w:tc>
          <w:tcPr>
            <w:tcW w:w="842" w:type="dxa"/>
            <w:tcBorders>
              <w:top w:val="nil"/>
              <w:left w:val="nil"/>
              <w:bottom w:val="single" w:sz="4" w:space="0" w:color="auto"/>
              <w:right w:val="single" w:sz="4" w:space="0" w:color="auto"/>
            </w:tcBorders>
            <w:shd w:val="clear" w:color="auto" w:fill="auto"/>
            <w:noWrap/>
            <w:vAlign w:val="bottom"/>
            <w:hideMark/>
          </w:tcPr>
          <w:p w14:paraId="7306237A" w14:textId="77777777" w:rsidR="001973CB" w:rsidRPr="0074044E" w:rsidRDefault="001973CB" w:rsidP="009A56C1">
            <w:r w:rsidRPr="0074044E">
              <w:t xml:space="preserve"> =</w:t>
            </w:r>
          </w:p>
        </w:tc>
        <w:tc>
          <w:tcPr>
            <w:tcW w:w="3820" w:type="dxa"/>
            <w:tcBorders>
              <w:top w:val="single" w:sz="4" w:space="0" w:color="auto"/>
              <w:left w:val="nil"/>
              <w:bottom w:val="single" w:sz="4" w:space="0" w:color="auto"/>
              <w:right w:val="single" w:sz="8" w:space="0" w:color="000000"/>
            </w:tcBorders>
            <w:shd w:val="clear" w:color="auto" w:fill="auto"/>
            <w:noWrap/>
            <w:vAlign w:val="bottom"/>
          </w:tcPr>
          <w:p w14:paraId="4D8BE273" w14:textId="77777777" w:rsidR="001973CB" w:rsidRPr="0074044E" w:rsidRDefault="001973CB" w:rsidP="009A56C1">
            <w:pPr>
              <w:jc w:val="center"/>
              <w:rPr>
                <w:b/>
                <w:bCs/>
              </w:rPr>
            </w:pPr>
            <w:r>
              <w:rPr>
                <w:b/>
                <w:bCs/>
              </w:rPr>
              <w:t>$228,997</w:t>
            </w:r>
          </w:p>
        </w:tc>
      </w:tr>
    </w:tbl>
    <w:p w14:paraId="34AA7D61" w14:textId="77777777" w:rsidR="001973CB" w:rsidRDefault="001973CB" w:rsidP="001973CB">
      <w:pPr>
        <w:jc w:val="both"/>
      </w:pPr>
    </w:p>
    <w:p w14:paraId="0B98C470" w14:textId="77777777" w:rsidR="001973CB" w:rsidRDefault="001973CB" w:rsidP="001973CB">
      <w:pPr>
        <w:jc w:val="both"/>
      </w:pPr>
    </w:p>
    <w:p w14:paraId="7EB4BA20" w14:textId="77777777" w:rsidR="001973CB" w:rsidRDefault="001973CB" w:rsidP="001973CB">
      <w:pPr>
        <w:jc w:val="both"/>
        <w:rPr>
          <w:u w:val="single"/>
        </w:rPr>
      </w:pPr>
      <w:r>
        <w:t xml:space="preserve">The Borough of Edgewater projects that a maximum of </w:t>
      </w:r>
      <w:r w:rsidRPr="005B56FD">
        <w:t>$</w:t>
      </w:r>
      <w:r>
        <w:t xml:space="preserve">228,997 collected from development fees will be available from the affordable housing trust fund to be used for administrative purposes between 2022-2025. </w:t>
      </w:r>
    </w:p>
    <w:p w14:paraId="76555BBA" w14:textId="77777777" w:rsidR="001973CB" w:rsidRDefault="001973CB" w:rsidP="001973CB">
      <w:pPr>
        <w:ind w:left="720"/>
        <w:jc w:val="both"/>
        <w:rPr>
          <w:u w:val="single"/>
        </w:rPr>
      </w:pPr>
    </w:p>
    <w:p w14:paraId="43ACE362" w14:textId="77777777" w:rsidR="001973CB" w:rsidRDefault="001973CB" w:rsidP="001973CB">
      <w:pPr>
        <w:jc w:val="both"/>
      </w:pPr>
      <w:r>
        <w:t>Administrative costs may include the costs of salaries and benefits for municipal employees or legal, planning, or other consultants’ fees necessary to develop or implement the rehabilitation program, and other Administrative Agent services including implementing the approved Housing Element and Fair Share Plan and affordability assistance.</w:t>
      </w:r>
    </w:p>
    <w:p w14:paraId="5A9C0755" w14:textId="77777777" w:rsidR="001973CB" w:rsidRDefault="001973CB" w:rsidP="001973CB">
      <w:pPr>
        <w:tabs>
          <w:tab w:val="left" w:pos="-72"/>
        </w:tabs>
        <w:jc w:val="both"/>
        <w:rPr>
          <w:b/>
        </w:rPr>
      </w:pPr>
    </w:p>
    <w:p w14:paraId="2ED234D3" w14:textId="77777777" w:rsidR="001973CB" w:rsidRDefault="001973CB" w:rsidP="001973CB">
      <w:pPr>
        <w:tabs>
          <w:tab w:val="left" w:pos="-72"/>
        </w:tabs>
        <w:jc w:val="both"/>
        <w:rPr>
          <w:b/>
        </w:rPr>
      </w:pPr>
      <w:r>
        <w:rPr>
          <w:b/>
        </w:rPr>
        <w:br w:type="page"/>
      </w:r>
      <w:r>
        <w:rPr>
          <w:b/>
        </w:rPr>
        <w:lastRenderedPageBreak/>
        <w:t xml:space="preserve">4. EXPENDITURE SCHEDULE </w:t>
      </w:r>
    </w:p>
    <w:p w14:paraId="51416089" w14:textId="77777777" w:rsidR="001973CB" w:rsidRDefault="001973CB" w:rsidP="001973CB">
      <w:pPr>
        <w:jc w:val="both"/>
      </w:pPr>
    </w:p>
    <w:p w14:paraId="54215876" w14:textId="77777777" w:rsidR="001973CB" w:rsidRDefault="001973CB" w:rsidP="001973CB">
      <w:pPr>
        <w:jc w:val="both"/>
        <w:rPr>
          <w:iCs/>
          <w:color w:val="000000"/>
        </w:rPr>
      </w:pPr>
      <w:r>
        <w:t xml:space="preserve">The Borough of Edgewater intends to use affordable housing trust fund revenues for the creation of housing units.  The expenditure schedule is as follows: </w:t>
      </w:r>
    </w:p>
    <w:p w14:paraId="1E4B87E7" w14:textId="77777777" w:rsidR="001973CB" w:rsidRDefault="001973CB" w:rsidP="001973CB">
      <w:pPr>
        <w:tabs>
          <w:tab w:val="left" w:pos="-72"/>
        </w:tabs>
        <w:jc w:val="both"/>
        <w:rPr>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530"/>
        <w:gridCol w:w="1620"/>
        <w:gridCol w:w="1620"/>
        <w:gridCol w:w="1530"/>
        <w:gridCol w:w="1710"/>
      </w:tblGrid>
      <w:tr w:rsidR="001973CB" w:rsidRPr="000D1981" w14:paraId="4794F17E" w14:textId="77777777" w:rsidTr="009A56C1">
        <w:trPr>
          <w:trHeight w:val="404"/>
        </w:trPr>
        <w:tc>
          <w:tcPr>
            <w:tcW w:w="9810" w:type="dxa"/>
            <w:gridSpan w:val="6"/>
            <w:shd w:val="clear" w:color="000000" w:fill="A5A5A5"/>
            <w:vAlign w:val="bottom"/>
            <w:hideMark/>
          </w:tcPr>
          <w:p w14:paraId="52A96502" w14:textId="77777777" w:rsidR="001973CB" w:rsidRPr="000D1981" w:rsidRDefault="001973CB" w:rsidP="009A56C1">
            <w:pPr>
              <w:jc w:val="center"/>
              <w:rPr>
                <w:b/>
                <w:bCs/>
                <w:color w:val="000000"/>
                <w:sz w:val="32"/>
                <w:szCs w:val="32"/>
              </w:rPr>
            </w:pPr>
            <w:r>
              <w:rPr>
                <w:b/>
                <w:bCs/>
                <w:color w:val="000000"/>
                <w:sz w:val="32"/>
                <w:szCs w:val="32"/>
              </w:rPr>
              <w:t>Edgewater</w:t>
            </w:r>
            <w:r w:rsidRPr="000D1981">
              <w:rPr>
                <w:b/>
                <w:bCs/>
                <w:color w:val="000000"/>
                <w:sz w:val="32"/>
                <w:szCs w:val="32"/>
              </w:rPr>
              <w:t xml:space="preserve"> Projected Expenditure Schedule </w:t>
            </w:r>
            <w:r>
              <w:rPr>
                <w:b/>
                <w:bCs/>
                <w:color w:val="000000"/>
                <w:sz w:val="32"/>
                <w:szCs w:val="32"/>
              </w:rPr>
              <w:t>2022-20</w:t>
            </w:r>
            <w:r w:rsidRPr="000D1981">
              <w:rPr>
                <w:b/>
                <w:bCs/>
                <w:color w:val="000000"/>
                <w:sz w:val="32"/>
                <w:szCs w:val="32"/>
              </w:rPr>
              <w:t>25</w:t>
            </w:r>
          </w:p>
        </w:tc>
      </w:tr>
      <w:tr w:rsidR="001973CB" w:rsidRPr="000D1981" w14:paraId="0AA1BC97" w14:textId="77777777" w:rsidTr="009A56C1">
        <w:trPr>
          <w:trHeight w:val="251"/>
        </w:trPr>
        <w:tc>
          <w:tcPr>
            <w:tcW w:w="1800" w:type="dxa"/>
            <w:shd w:val="clear" w:color="auto" w:fill="auto"/>
            <w:vAlign w:val="bottom"/>
            <w:hideMark/>
          </w:tcPr>
          <w:p w14:paraId="38013A9A" w14:textId="77777777" w:rsidR="001973CB" w:rsidRPr="000D1981" w:rsidRDefault="001973CB" w:rsidP="009A56C1">
            <w:pPr>
              <w:rPr>
                <w:b/>
                <w:bCs/>
              </w:rPr>
            </w:pPr>
            <w:r w:rsidRPr="000D1981">
              <w:rPr>
                <w:b/>
                <w:bCs/>
              </w:rPr>
              <w:t> </w:t>
            </w:r>
          </w:p>
        </w:tc>
        <w:tc>
          <w:tcPr>
            <w:tcW w:w="1530" w:type="dxa"/>
            <w:shd w:val="clear" w:color="auto" w:fill="auto"/>
            <w:vAlign w:val="bottom"/>
            <w:hideMark/>
          </w:tcPr>
          <w:p w14:paraId="2231F8E5" w14:textId="77777777" w:rsidR="001973CB" w:rsidRPr="000D1981" w:rsidRDefault="001973CB" w:rsidP="009A56C1">
            <w:pPr>
              <w:jc w:val="center"/>
              <w:rPr>
                <w:b/>
                <w:bCs/>
                <w:color w:val="000000"/>
                <w:sz w:val="20"/>
                <w:szCs w:val="20"/>
              </w:rPr>
            </w:pPr>
            <w:r w:rsidRPr="000D1981">
              <w:rPr>
                <w:b/>
                <w:bCs/>
                <w:color w:val="000000"/>
                <w:sz w:val="20"/>
                <w:szCs w:val="20"/>
              </w:rPr>
              <w:t>2022</w:t>
            </w:r>
          </w:p>
        </w:tc>
        <w:tc>
          <w:tcPr>
            <w:tcW w:w="1620" w:type="dxa"/>
            <w:shd w:val="clear" w:color="auto" w:fill="auto"/>
            <w:vAlign w:val="bottom"/>
            <w:hideMark/>
          </w:tcPr>
          <w:p w14:paraId="72261F96" w14:textId="77777777" w:rsidR="001973CB" w:rsidRPr="000D1981" w:rsidRDefault="001973CB" w:rsidP="009A56C1">
            <w:pPr>
              <w:jc w:val="center"/>
              <w:rPr>
                <w:b/>
                <w:bCs/>
                <w:color w:val="000000"/>
                <w:sz w:val="20"/>
                <w:szCs w:val="20"/>
              </w:rPr>
            </w:pPr>
            <w:r w:rsidRPr="000D1981">
              <w:rPr>
                <w:b/>
                <w:bCs/>
                <w:color w:val="000000"/>
                <w:sz w:val="20"/>
                <w:szCs w:val="20"/>
              </w:rPr>
              <w:t>2023</w:t>
            </w:r>
          </w:p>
        </w:tc>
        <w:tc>
          <w:tcPr>
            <w:tcW w:w="1620" w:type="dxa"/>
            <w:shd w:val="clear" w:color="auto" w:fill="auto"/>
            <w:vAlign w:val="bottom"/>
            <w:hideMark/>
          </w:tcPr>
          <w:p w14:paraId="3B96B8C0" w14:textId="77777777" w:rsidR="001973CB" w:rsidRPr="000D1981" w:rsidRDefault="001973CB" w:rsidP="009A56C1">
            <w:pPr>
              <w:jc w:val="center"/>
              <w:rPr>
                <w:b/>
                <w:bCs/>
                <w:color w:val="000000"/>
                <w:sz w:val="20"/>
                <w:szCs w:val="20"/>
              </w:rPr>
            </w:pPr>
            <w:r w:rsidRPr="000D1981">
              <w:rPr>
                <w:b/>
                <w:bCs/>
                <w:color w:val="000000"/>
                <w:sz w:val="20"/>
                <w:szCs w:val="20"/>
              </w:rPr>
              <w:t>2024</w:t>
            </w:r>
          </w:p>
        </w:tc>
        <w:tc>
          <w:tcPr>
            <w:tcW w:w="1530" w:type="dxa"/>
            <w:shd w:val="clear" w:color="auto" w:fill="auto"/>
            <w:vAlign w:val="bottom"/>
            <w:hideMark/>
          </w:tcPr>
          <w:p w14:paraId="203A6FF3" w14:textId="77777777" w:rsidR="001973CB" w:rsidRPr="000D1981" w:rsidRDefault="001973CB" w:rsidP="009A56C1">
            <w:pPr>
              <w:jc w:val="center"/>
              <w:rPr>
                <w:b/>
                <w:bCs/>
                <w:color w:val="000000"/>
                <w:sz w:val="20"/>
                <w:szCs w:val="20"/>
              </w:rPr>
            </w:pPr>
            <w:r w:rsidRPr="000D1981">
              <w:rPr>
                <w:b/>
                <w:bCs/>
                <w:color w:val="000000"/>
                <w:sz w:val="20"/>
                <w:szCs w:val="20"/>
              </w:rPr>
              <w:t>2025</w:t>
            </w:r>
          </w:p>
        </w:tc>
        <w:tc>
          <w:tcPr>
            <w:tcW w:w="1710" w:type="dxa"/>
            <w:shd w:val="clear" w:color="auto" w:fill="auto"/>
            <w:vAlign w:val="bottom"/>
            <w:hideMark/>
          </w:tcPr>
          <w:p w14:paraId="7CE57AB7" w14:textId="77777777" w:rsidR="001973CB" w:rsidRPr="000D1981" w:rsidRDefault="001973CB" w:rsidP="009A56C1">
            <w:pPr>
              <w:jc w:val="center"/>
              <w:rPr>
                <w:b/>
                <w:bCs/>
                <w:color w:val="000000"/>
                <w:sz w:val="20"/>
                <w:szCs w:val="20"/>
              </w:rPr>
            </w:pPr>
            <w:r w:rsidRPr="000D1981">
              <w:rPr>
                <w:b/>
                <w:bCs/>
                <w:color w:val="000000"/>
                <w:sz w:val="20"/>
                <w:szCs w:val="20"/>
              </w:rPr>
              <w:t>Total</w:t>
            </w:r>
          </w:p>
        </w:tc>
      </w:tr>
      <w:tr w:rsidR="001973CB" w:rsidRPr="000D1981" w14:paraId="542C57CE" w14:textId="77777777" w:rsidTr="009A56C1">
        <w:trPr>
          <w:trHeight w:val="645"/>
        </w:trPr>
        <w:tc>
          <w:tcPr>
            <w:tcW w:w="1800" w:type="dxa"/>
            <w:shd w:val="clear" w:color="auto" w:fill="auto"/>
            <w:vAlign w:val="bottom"/>
          </w:tcPr>
          <w:p w14:paraId="79CC94F0" w14:textId="77777777" w:rsidR="001973CB" w:rsidRDefault="001973CB" w:rsidP="009A56C1">
            <w:pPr>
              <w:rPr>
                <w:b/>
                <w:bCs/>
                <w:sz w:val="22"/>
              </w:rPr>
            </w:pPr>
            <w:r>
              <w:rPr>
                <w:b/>
                <w:bCs/>
                <w:sz w:val="22"/>
              </w:rPr>
              <w:t>Housing Rehabilitation</w:t>
            </w:r>
          </w:p>
        </w:tc>
        <w:tc>
          <w:tcPr>
            <w:tcW w:w="1530" w:type="dxa"/>
            <w:shd w:val="clear" w:color="auto" w:fill="auto"/>
            <w:vAlign w:val="center"/>
          </w:tcPr>
          <w:p w14:paraId="387AC236" w14:textId="77777777" w:rsidR="001973CB" w:rsidRDefault="001973CB" w:rsidP="009A56C1">
            <w:pPr>
              <w:jc w:val="center"/>
              <w:rPr>
                <w:color w:val="000000"/>
                <w:sz w:val="20"/>
                <w:szCs w:val="20"/>
              </w:rPr>
            </w:pPr>
            <w:r>
              <w:rPr>
                <w:color w:val="000000"/>
                <w:sz w:val="16"/>
                <w:szCs w:val="16"/>
              </w:rPr>
              <w:t>$0 </w:t>
            </w:r>
          </w:p>
        </w:tc>
        <w:tc>
          <w:tcPr>
            <w:tcW w:w="1620" w:type="dxa"/>
            <w:shd w:val="clear" w:color="auto" w:fill="auto"/>
            <w:vAlign w:val="center"/>
          </w:tcPr>
          <w:p w14:paraId="58795161" w14:textId="77777777" w:rsidR="001973CB" w:rsidRDefault="001973CB" w:rsidP="009A56C1">
            <w:pPr>
              <w:jc w:val="center"/>
              <w:rPr>
                <w:color w:val="000000"/>
                <w:sz w:val="20"/>
                <w:szCs w:val="20"/>
              </w:rPr>
            </w:pPr>
            <w:r>
              <w:rPr>
                <w:color w:val="000000"/>
                <w:sz w:val="16"/>
                <w:szCs w:val="16"/>
              </w:rPr>
              <w:t>$60,000</w:t>
            </w:r>
          </w:p>
        </w:tc>
        <w:tc>
          <w:tcPr>
            <w:tcW w:w="1620" w:type="dxa"/>
            <w:shd w:val="clear" w:color="auto" w:fill="auto"/>
            <w:vAlign w:val="center"/>
          </w:tcPr>
          <w:p w14:paraId="4133E62E" w14:textId="77777777" w:rsidR="001973CB" w:rsidRDefault="001973CB" w:rsidP="009A56C1">
            <w:pPr>
              <w:jc w:val="center"/>
              <w:rPr>
                <w:color w:val="000000"/>
                <w:sz w:val="20"/>
                <w:szCs w:val="20"/>
              </w:rPr>
            </w:pPr>
            <w:r>
              <w:rPr>
                <w:color w:val="000000"/>
                <w:sz w:val="16"/>
                <w:szCs w:val="16"/>
              </w:rPr>
              <w:t xml:space="preserve">$0 </w:t>
            </w:r>
          </w:p>
        </w:tc>
        <w:tc>
          <w:tcPr>
            <w:tcW w:w="1530" w:type="dxa"/>
            <w:shd w:val="clear" w:color="auto" w:fill="auto"/>
            <w:vAlign w:val="center"/>
          </w:tcPr>
          <w:p w14:paraId="7F125AC8" w14:textId="77777777" w:rsidR="001973CB" w:rsidRDefault="001973CB" w:rsidP="009A56C1">
            <w:pPr>
              <w:jc w:val="center"/>
              <w:rPr>
                <w:color w:val="000000"/>
                <w:sz w:val="20"/>
                <w:szCs w:val="20"/>
              </w:rPr>
            </w:pPr>
            <w:r>
              <w:rPr>
                <w:color w:val="000000"/>
                <w:sz w:val="16"/>
                <w:szCs w:val="16"/>
              </w:rPr>
              <w:t xml:space="preserve">$0 </w:t>
            </w:r>
          </w:p>
        </w:tc>
        <w:tc>
          <w:tcPr>
            <w:tcW w:w="1710" w:type="dxa"/>
            <w:shd w:val="clear" w:color="auto" w:fill="auto"/>
            <w:vAlign w:val="center"/>
          </w:tcPr>
          <w:p w14:paraId="7E31B652" w14:textId="77777777" w:rsidR="001973CB" w:rsidRDefault="001973CB" w:rsidP="009A56C1">
            <w:pPr>
              <w:jc w:val="center"/>
              <w:rPr>
                <w:color w:val="000000"/>
                <w:sz w:val="20"/>
                <w:szCs w:val="20"/>
              </w:rPr>
            </w:pPr>
            <w:r>
              <w:rPr>
                <w:color w:val="000000"/>
                <w:sz w:val="16"/>
                <w:szCs w:val="16"/>
              </w:rPr>
              <w:t xml:space="preserve">$60,000 </w:t>
            </w:r>
          </w:p>
        </w:tc>
      </w:tr>
      <w:tr w:rsidR="001973CB" w:rsidRPr="000D1981" w14:paraId="4889CFE0" w14:textId="77777777" w:rsidTr="009A56C1">
        <w:trPr>
          <w:trHeight w:val="600"/>
        </w:trPr>
        <w:tc>
          <w:tcPr>
            <w:tcW w:w="1800" w:type="dxa"/>
            <w:shd w:val="clear" w:color="auto" w:fill="auto"/>
            <w:vAlign w:val="bottom"/>
          </w:tcPr>
          <w:p w14:paraId="443168F4" w14:textId="77777777" w:rsidR="001973CB" w:rsidRPr="0074638F" w:rsidRDefault="001973CB" w:rsidP="009A56C1">
            <w:pPr>
              <w:rPr>
                <w:b/>
                <w:bCs/>
                <w:sz w:val="22"/>
              </w:rPr>
            </w:pPr>
            <w:r>
              <w:rPr>
                <w:b/>
                <w:bCs/>
                <w:sz w:val="22"/>
              </w:rPr>
              <w:t>Affordability Assistance</w:t>
            </w:r>
          </w:p>
        </w:tc>
        <w:tc>
          <w:tcPr>
            <w:tcW w:w="1530" w:type="dxa"/>
            <w:shd w:val="clear" w:color="auto" w:fill="auto"/>
            <w:vAlign w:val="center"/>
          </w:tcPr>
          <w:p w14:paraId="369440CB" w14:textId="77777777" w:rsidR="001973CB" w:rsidRDefault="001973CB" w:rsidP="009A56C1">
            <w:pPr>
              <w:jc w:val="center"/>
              <w:rPr>
                <w:color w:val="000000"/>
                <w:sz w:val="16"/>
                <w:szCs w:val="16"/>
              </w:rPr>
            </w:pPr>
            <w:r>
              <w:rPr>
                <w:color w:val="000000"/>
                <w:sz w:val="16"/>
                <w:szCs w:val="16"/>
              </w:rPr>
              <w:t>$3,750</w:t>
            </w:r>
          </w:p>
        </w:tc>
        <w:tc>
          <w:tcPr>
            <w:tcW w:w="1620" w:type="dxa"/>
            <w:shd w:val="clear" w:color="auto" w:fill="auto"/>
            <w:vAlign w:val="center"/>
          </w:tcPr>
          <w:p w14:paraId="708671A7" w14:textId="77777777" w:rsidR="001973CB" w:rsidRDefault="001973CB" w:rsidP="009A56C1">
            <w:pPr>
              <w:jc w:val="center"/>
              <w:rPr>
                <w:color w:val="000000"/>
                <w:sz w:val="16"/>
                <w:szCs w:val="16"/>
              </w:rPr>
            </w:pPr>
            <w:r>
              <w:rPr>
                <w:color w:val="000000"/>
                <w:sz w:val="16"/>
                <w:szCs w:val="16"/>
              </w:rPr>
              <w:t>$3,750</w:t>
            </w:r>
          </w:p>
        </w:tc>
        <w:tc>
          <w:tcPr>
            <w:tcW w:w="1620" w:type="dxa"/>
            <w:shd w:val="clear" w:color="auto" w:fill="auto"/>
            <w:vAlign w:val="center"/>
          </w:tcPr>
          <w:p w14:paraId="70C2FF90" w14:textId="77777777" w:rsidR="001973CB" w:rsidRDefault="001973CB" w:rsidP="009A56C1">
            <w:pPr>
              <w:jc w:val="center"/>
              <w:rPr>
                <w:color w:val="000000"/>
                <w:sz w:val="16"/>
                <w:szCs w:val="16"/>
              </w:rPr>
            </w:pPr>
            <w:r>
              <w:rPr>
                <w:color w:val="000000"/>
                <w:sz w:val="16"/>
                <w:szCs w:val="16"/>
              </w:rPr>
              <w:t>$3,750</w:t>
            </w:r>
          </w:p>
        </w:tc>
        <w:tc>
          <w:tcPr>
            <w:tcW w:w="1530" w:type="dxa"/>
            <w:shd w:val="clear" w:color="auto" w:fill="auto"/>
            <w:vAlign w:val="center"/>
          </w:tcPr>
          <w:p w14:paraId="03D326BC" w14:textId="77777777" w:rsidR="001973CB" w:rsidRDefault="001973CB" w:rsidP="009A56C1">
            <w:pPr>
              <w:jc w:val="center"/>
              <w:rPr>
                <w:color w:val="000000"/>
                <w:sz w:val="16"/>
                <w:szCs w:val="16"/>
              </w:rPr>
            </w:pPr>
            <w:r>
              <w:rPr>
                <w:color w:val="000000"/>
                <w:sz w:val="16"/>
                <w:szCs w:val="16"/>
              </w:rPr>
              <w:t>$3,781</w:t>
            </w:r>
          </w:p>
        </w:tc>
        <w:tc>
          <w:tcPr>
            <w:tcW w:w="1710" w:type="dxa"/>
            <w:shd w:val="clear" w:color="auto" w:fill="auto"/>
            <w:vAlign w:val="center"/>
          </w:tcPr>
          <w:p w14:paraId="5681B1AB" w14:textId="77777777" w:rsidR="001973CB" w:rsidRDefault="001973CB" w:rsidP="009A56C1">
            <w:pPr>
              <w:jc w:val="center"/>
              <w:rPr>
                <w:color w:val="000000"/>
                <w:sz w:val="16"/>
                <w:szCs w:val="16"/>
              </w:rPr>
            </w:pPr>
            <w:r>
              <w:rPr>
                <w:color w:val="000000"/>
                <w:sz w:val="16"/>
                <w:szCs w:val="16"/>
              </w:rPr>
              <w:t>$15,031</w:t>
            </w:r>
          </w:p>
        </w:tc>
      </w:tr>
      <w:tr w:rsidR="001973CB" w:rsidRPr="000D1981" w14:paraId="73799F37" w14:textId="77777777" w:rsidTr="009A56C1">
        <w:trPr>
          <w:trHeight w:val="600"/>
        </w:trPr>
        <w:tc>
          <w:tcPr>
            <w:tcW w:w="1800" w:type="dxa"/>
            <w:shd w:val="clear" w:color="auto" w:fill="auto"/>
            <w:vAlign w:val="bottom"/>
            <w:hideMark/>
          </w:tcPr>
          <w:p w14:paraId="69F8ADA6" w14:textId="77777777" w:rsidR="001973CB" w:rsidRPr="0074638F" w:rsidRDefault="001973CB" w:rsidP="009A56C1">
            <w:pPr>
              <w:rPr>
                <w:b/>
                <w:bCs/>
                <w:sz w:val="22"/>
              </w:rPr>
            </w:pPr>
            <w:r w:rsidRPr="0074638F">
              <w:rPr>
                <w:b/>
                <w:bCs/>
                <w:sz w:val="22"/>
              </w:rPr>
              <w:t xml:space="preserve">Administration </w:t>
            </w:r>
          </w:p>
        </w:tc>
        <w:tc>
          <w:tcPr>
            <w:tcW w:w="1530" w:type="dxa"/>
            <w:shd w:val="clear" w:color="auto" w:fill="auto"/>
            <w:vAlign w:val="center"/>
          </w:tcPr>
          <w:p w14:paraId="042A9B04" w14:textId="77777777" w:rsidR="001973CB" w:rsidRPr="000D1981" w:rsidRDefault="001973CB" w:rsidP="009A56C1">
            <w:pPr>
              <w:jc w:val="center"/>
              <w:rPr>
                <w:color w:val="000000"/>
                <w:sz w:val="20"/>
                <w:szCs w:val="20"/>
              </w:rPr>
            </w:pPr>
            <w:r>
              <w:rPr>
                <w:color w:val="000000"/>
                <w:sz w:val="16"/>
                <w:szCs w:val="16"/>
              </w:rPr>
              <w:t xml:space="preserve">$70,000 </w:t>
            </w:r>
          </w:p>
        </w:tc>
        <w:tc>
          <w:tcPr>
            <w:tcW w:w="1620" w:type="dxa"/>
            <w:shd w:val="clear" w:color="auto" w:fill="auto"/>
            <w:vAlign w:val="center"/>
          </w:tcPr>
          <w:p w14:paraId="71899688" w14:textId="77777777" w:rsidR="001973CB" w:rsidRPr="000D1981" w:rsidRDefault="001973CB" w:rsidP="009A56C1">
            <w:pPr>
              <w:jc w:val="center"/>
              <w:rPr>
                <w:color w:val="000000"/>
                <w:sz w:val="20"/>
                <w:szCs w:val="20"/>
              </w:rPr>
            </w:pPr>
            <w:r>
              <w:rPr>
                <w:color w:val="000000"/>
                <w:sz w:val="16"/>
                <w:szCs w:val="16"/>
              </w:rPr>
              <w:t xml:space="preserve">$60,000 </w:t>
            </w:r>
          </w:p>
        </w:tc>
        <w:tc>
          <w:tcPr>
            <w:tcW w:w="1620" w:type="dxa"/>
            <w:shd w:val="clear" w:color="auto" w:fill="auto"/>
            <w:vAlign w:val="center"/>
          </w:tcPr>
          <w:p w14:paraId="4660D472" w14:textId="77777777" w:rsidR="001973CB" w:rsidRPr="000D1981" w:rsidRDefault="001973CB" w:rsidP="009A56C1">
            <w:pPr>
              <w:jc w:val="center"/>
              <w:rPr>
                <w:color w:val="000000"/>
                <w:sz w:val="20"/>
                <w:szCs w:val="20"/>
              </w:rPr>
            </w:pPr>
            <w:r>
              <w:rPr>
                <w:color w:val="000000"/>
                <w:sz w:val="16"/>
                <w:szCs w:val="16"/>
              </w:rPr>
              <w:t xml:space="preserve">$50,000 </w:t>
            </w:r>
          </w:p>
        </w:tc>
        <w:tc>
          <w:tcPr>
            <w:tcW w:w="1530" w:type="dxa"/>
            <w:shd w:val="clear" w:color="auto" w:fill="auto"/>
            <w:vAlign w:val="center"/>
          </w:tcPr>
          <w:p w14:paraId="0BC2E8C4" w14:textId="77777777" w:rsidR="001973CB" w:rsidRPr="000D1981" w:rsidRDefault="001973CB" w:rsidP="009A56C1">
            <w:pPr>
              <w:jc w:val="center"/>
              <w:rPr>
                <w:color w:val="000000"/>
                <w:sz w:val="20"/>
                <w:szCs w:val="20"/>
              </w:rPr>
            </w:pPr>
            <w:r>
              <w:rPr>
                <w:color w:val="000000"/>
                <w:sz w:val="16"/>
                <w:szCs w:val="16"/>
              </w:rPr>
              <w:t xml:space="preserve">$48,997 </w:t>
            </w:r>
          </w:p>
        </w:tc>
        <w:tc>
          <w:tcPr>
            <w:tcW w:w="1710" w:type="dxa"/>
            <w:shd w:val="clear" w:color="auto" w:fill="auto"/>
            <w:vAlign w:val="center"/>
          </w:tcPr>
          <w:p w14:paraId="4F686864" w14:textId="77777777" w:rsidR="001973CB" w:rsidRPr="000D1981" w:rsidRDefault="001973CB" w:rsidP="009A56C1">
            <w:pPr>
              <w:jc w:val="center"/>
              <w:rPr>
                <w:color w:val="000000"/>
                <w:sz w:val="20"/>
                <w:szCs w:val="20"/>
              </w:rPr>
            </w:pPr>
            <w:r>
              <w:rPr>
                <w:color w:val="000000"/>
                <w:sz w:val="16"/>
                <w:szCs w:val="16"/>
              </w:rPr>
              <w:t xml:space="preserve">$228,997 </w:t>
            </w:r>
          </w:p>
        </w:tc>
      </w:tr>
      <w:tr w:rsidR="001973CB" w:rsidRPr="000D1981" w14:paraId="6E14E0EE" w14:textId="77777777" w:rsidTr="009A56C1">
        <w:trPr>
          <w:trHeight w:val="600"/>
        </w:trPr>
        <w:tc>
          <w:tcPr>
            <w:tcW w:w="1800" w:type="dxa"/>
            <w:shd w:val="clear" w:color="auto" w:fill="auto"/>
            <w:noWrap/>
            <w:vAlign w:val="bottom"/>
            <w:hideMark/>
          </w:tcPr>
          <w:p w14:paraId="1BDDE77C" w14:textId="77777777" w:rsidR="001973CB" w:rsidRPr="000D1981" w:rsidRDefault="001973CB" w:rsidP="009A56C1">
            <w:pPr>
              <w:jc w:val="right"/>
              <w:rPr>
                <w:color w:val="000000"/>
                <w:sz w:val="22"/>
                <w:szCs w:val="22"/>
              </w:rPr>
            </w:pPr>
            <w:r w:rsidRPr="000D1981">
              <w:rPr>
                <w:color w:val="000000"/>
                <w:sz w:val="22"/>
                <w:szCs w:val="22"/>
              </w:rPr>
              <w:t>TOTAL</w:t>
            </w:r>
          </w:p>
        </w:tc>
        <w:tc>
          <w:tcPr>
            <w:tcW w:w="1530" w:type="dxa"/>
            <w:shd w:val="clear" w:color="auto" w:fill="auto"/>
            <w:noWrap/>
            <w:vAlign w:val="center"/>
          </w:tcPr>
          <w:p w14:paraId="2B06461B" w14:textId="77777777" w:rsidR="001973CB" w:rsidRPr="00B96645" w:rsidRDefault="001973CB" w:rsidP="009A56C1">
            <w:pPr>
              <w:jc w:val="center"/>
              <w:rPr>
                <w:color w:val="000000"/>
                <w:sz w:val="20"/>
                <w:szCs w:val="20"/>
              </w:rPr>
            </w:pPr>
            <w:r>
              <w:rPr>
                <w:color w:val="000000"/>
                <w:sz w:val="16"/>
                <w:szCs w:val="16"/>
              </w:rPr>
              <w:t xml:space="preserve">$70,000 </w:t>
            </w:r>
          </w:p>
        </w:tc>
        <w:tc>
          <w:tcPr>
            <w:tcW w:w="1620" w:type="dxa"/>
            <w:shd w:val="clear" w:color="auto" w:fill="auto"/>
            <w:noWrap/>
            <w:vAlign w:val="center"/>
          </w:tcPr>
          <w:p w14:paraId="2ABC4D48" w14:textId="77777777" w:rsidR="001973CB" w:rsidRPr="00DD5534" w:rsidRDefault="001973CB" w:rsidP="009A56C1">
            <w:pPr>
              <w:jc w:val="center"/>
              <w:rPr>
                <w:color w:val="000000"/>
                <w:sz w:val="20"/>
                <w:szCs w:val="20"/>
              </w:rPr>
            </w:pPr>
            <w:r>
              <w:rPr>
                <w:color w:val="000000"/>
                <w:sz w:val="16"/>
                <w:szCs w:val="16"/>
              </w:rPr>
              <w:t xml:space="preserve">$100,000 </w:t>
            </w:r>
          </w:p>
        </w:tc>
        <w:tc>
          <w:tcPr>
            <w:tcW w:w="1620" w:type="dxa"/>
            <w:shd w:val="clear" w:color="auto" w:fill="auto"/>
            <w:noWrap/>
            <w:vAlign w:val="center"/>
          </w:tcPr>
          <w:p w14:paraId="14ED83F9" w14:textId="77777777" w:rsidR="001973CB" w:rsidRPr="00DD5534" w:rsidRDefault="001973CB" w:rsidP="009A56C1">
            <w:pPr>
              <w:jc w:val="center"/>
              <w:rPr>
                <w:color w:val="000000"/>
                <w:sz w:val="20"/>
                <w:szCs w:val="20"/>
              </w:rPr>
            </w:pPr>
            <w:r>
              <w:rPr>
                <w:color w:val="000000"/>
                <w:sz w:val="16"/>
                <w:szCs w:val="16"/>
              </w:rPr>
              <w:t xml:space="preserve">$85,000 </w:t>
            </w:r>
          </w:p>
        </w:tc>
        <w:tc>
          <w:tcPr>
            <w:tcW w:w="1530" w:type="dxa"/>
            <w:shd w:val="clear" w:color="auto" w:fill="auto"/>
            <w:noWrap/>
            <w:vAlign w:val="center"/>
          </w:tcPr>
          <w:p w14:paraId="76EC9F80" w14:textId="77777777" w:rsidR="001973CB" w:rsidRPr="00DD5534" w:rsidRDefault="001973CB" w:rsidP="009A56C1">
            <w:pPr>
              <w:jc w:val="center"/>
              <w:rPr>
                <w:color w:val="000000"/>
                <w:sz w:val="20"/>
                <w:szCs w:val="20"/>
              </w:rPr>
            </w:pPr>
            <w:r>
              <w:rPr>
                <w:color w:val="000000"/>
                <w:sz w:val="16"/>
                <w:szCs w:val="16"/>
              </w:rPr>
              <w:t xml:space="preserve">$49,028 </w:t>
            </w:r>
          </w:p>
        </w:tc>
        <w:tc>
          <w:tcPr>
            <w:tcW w:w="1710" w:type="dxa"/>
            <w:shd w:val="clear" w:color="auto" w:fill="auto"/>
            <w:noWrap/>
            <w:vAlign w:val="center"/>
          </w:tcPr>
          <w:p w14:paraId="6EAFEC9B" w14:textId="77777777" w:rsidR="001973CB" w:rsidRPr="00D37423" w:rsidRDefault="001973CB" w:rsidP="009A56C1">
            <w:pPr>
              <w:jc w:val="center"/>
              <w:rPr>
                <w:color w:val="000000"/>
                <w:sz w:val="16"/>
                <w:szCs w:val="16"/>
              </w:rPr>
            </w:pPr>
            <w:r>
              <w:rPr>
                <w:color w:val="000000"/>
                <w:sz w:val="16"/>
                <w:szCs w:val="16"/>
              </w:rPr>
              <w:t>$</w:t>
            </w:r>
            <w:r w:rsidRPr="00D37423">
              <w:rPr>
                <w:color w:val="000000"/>
                <w:sz w:val="16"/>
                <w:szCs w:val="16"/>
              </w:rPr>
              <w:t>304,028</w:t>
            </w:r>
          </w:p>
        </w:tc>
      </w:tr>
    </w:tbl>
    <w:p w14:paraId="3205F695" w14:textId="77777777" w:rsidR="001973CB" w:rsidRDefault="001973CB" w:rsidP="001973CB">
      <w:pPr>
        <w:tabs>
          <w:tab w:val="left" w:pos="-72"/>
        </w:tabs>
        <w:jc w:val="both"/>
        <w:rPr>
          <w:b/>
          <w:u w:val="single"/>
        </w:rPr>
      </w:pPr>
    </w:p>
    <w:p w14:paraId="29D1902A" w14:textId="77777777" w:rsidR="001973CB" w:rsidRDefault="001973CB" w:rsidP="001973CB">
      <w:pPr>
        <w:tabs>
          <w:tab w:val="left" w:pos="-72"/>
        </w:tabs>
        <w:jc w:val="both"/>
      </w:pPr>
      <w:r>
        <w:t xml:space="preserve">Edgewater reserves the right to expend fees within entry of its Judgement of Repose, and may reallocate budgeted items as may be necessary to implement its Housing Element and Fair Share Plan.  </w:t>
      </w:r>
    </w:p>
    <w:p w14:paraId="67947385" w14:textId="77777777" w:rsidR="001973CB" w:rsidRDefault="001973CB" w:rsidP="001973CB">
      <w:pPr>
        <w:tabs>
          <w:tab w:val="left" w:pos="-72"/>
        </w:tabs>
        <w:jc w:val="both"/>
        <w:rPr>
          <w:b/>
        </w:rPr>
      </w:pPr>
    </w:p>
    <w:p w14:paraId="4520B478" w14:textId="77777777" w:rsidR="001973CB" w:rsidRDefault="001973CB" w:rsidP="001973CB">
      <w:pPr>
        <w:tabs>
          <w:tab w:val="left" w:pos="-72"/>
        </w:tabs>
        <w:jc w:val="both"/>
        <w:rPr>
          <w:b/>
        </w:rPr>
      </w:pPr>
      <w:r>
        <w:rPr>
          <w:b/>
        </w:rPr>
        <w:t>5. EXCESS OR SHORTFALL OF FUNDS</w:t>
      </w:r>
    </w:p>
    <w:p w14:paraId="12B842CD" w14:textId="77777777" w:rsidR="001973CB" w:rsidRDefault="001973CB" w:rsidP="001973CB">
      <w:pPr>
        <w:tabs>
          <w:tab w:val="left" w:pos="-72"/>
        </w:tabs>
        <w:jc w:val="both"/>
        <w:rPr>
          <w:bCs/>
        </w:rPr>
      </w:pPr>
    </w:p>
    <w:p w14:paraId="41E778D5" w14:textId="77777777" w:rsidR="001973CB" w:rsidRPr="00263480" w:rsidRDefault="001973CB" w:rsidP="001973CB">
      <w:pPr>
        <w:tabs>
          <w:tab w:val="left" w:pos="-72"/>
        </w:tabs>
        <w:jc w:val="both"/>
      </w:pPr>
      <w:r>
        <w:rPr>
          <w:bCs/>
        </w:rPr>
        <w:t xml:space="preserve">In the event of excess funds, any remaining </w:t>
      </w:r>
      <w:r>
        <w:rPr>
          <w:iCs/>
        </w:rPr>
        <w:t xml:space="preserve">funds above the amount necessary to satisfy the municipal affordable housing obligation will be used to fund the Housing Rehabilitation Program. </w:t>
      </w:r>
      <w:r>
        <w:rPr>
          <w:sz w:val="23"/>
          <w:szCs w:val="23"/>
        </w:rPr>
        <w:t>In the event of any expected or unexpected shortfall if the anticipated revenues are not sufficient to implement the plan, the Township will pass a resolution describing the Township’s intent to bond to cover any said shortfall.</w:t>
      </w:r>
    </w:p>
    <w:p w14:paraId="68134C5B" w14:textId="77777777" w:rsidR="001973CB" w:rsidRDefault="001973CB" w:rsidP="001973CB">
      <w:pPr>
        <w:tabs>
          <w:tab w:val="left" w:pos="-72"/>
        </w:tabs>
        <w:jc w:val="both"/>
        <w:rPr>
          <w:bCs/>
        </w:rPr>
      </w:pPr>
    </w:p>
    <w:p w14:paraId="47653C1D" w14:textId="77777777" w:rsidR="001973CB" w:rsidRDefault="001973CB" w:rsidP="001973CB">
      <w:pPr>
        <w:jc w:val="both"/>
        <w:rPr>
          <w:b/>
          <w:caps/>
        </w:rPr>
      </w:pPr>
      <w:r>
        <w:rPr>
          <w:b/>
          <w:caps/>
        </w:rPr>
        <w:t>6.  Barrier free escrow</w:t>
      </w:r>
    </w:p>
    <w:p w14:paraId="11C00472" w14:textId="77777777" w:rsidR="001973CB" w:rsidRDefault="001973CB" w:rsidP="001973CB">
      <w:pPr>
        <w:jc w:val="both"/>
      </w:pPr>
    </w:p>
    <w:p w14:paraId="0E775013" w14:textId="77777777" w:rsidR="001973CB" w:rsidRDefault="001973CB" w:rsidP="001973CB">
      <w:pPr>
        <w:pStyle w:val="BodyText2"/>
        <w:tabs>
          <w:tab w:val="clear" w:pos="-72"/>
          <w:tab w:val="clear" w:pos="118"/>
          <w:tab w:val="clear" w:pos="343"/>
          <w:tab w:val="clear" w:pos="540"/>
          <w:tab w:val="clear" w:pos="9360"/>
          <w:tab w:val="clear" w:pos="10710"/>
        </w:tabs>
      </w:pPr>
      <w:r>
        <w:t>Collection and distribution of barrier free funds shall be consistent with the Borough of Edgewater</w:t>
      </w:r>
      <w:r w:rsidRPr="005B56FD">
        <w:t xml:space="preserve">’s </w:t>
      </w:r>
      <w:r w:rsidRPr="00AD1612">
        <w:t>Development Fee Ordinance Article XVII.</w:t>
      </w:r>
      <w:r>
        <w:t xml:space="preserve">  </w:t>
      </w:r>
    </w:p>
    <w:p w14:paraId="1247A765" w14:textId="77777777" w:rsidR="001973CB" w:rsidRDefault="001973CB" w:rsidP="001973CB">
      <w:pPr>
        <w:pStyle w:val="BodyText2"/>
        <w:tabs>
          <w:tab w:val="clear" w:pos="-72"/>
          <w:tab w:val="clear" w:pos="118"/>
          <w:tab w:val="clear" w:pos="343"/>
          <w:tab w:val="clear" w:pos="540"/>
          <w:tab w:val="clear" w:pos="9360"/>
          <w:tab w:val="clear" w:pos="10710"/>
        </w:tabs>
        <w:rPr>
          <w:b/>
          <w:u w:val="single"/>
        </w:rPr>
      </w:pPr>
    </w:p>
    <w:p w14:paraId="61ED93E6" w14:textId="77777777" w:rsidR="001973CB" w:rsidRPr="00564BE8" w:rsidRDefault="001973CB" w:rsidP="001973CB">
      <w:pPr>
        <w:pStyle w:val="BodyText2"/>
        <w:tabs>
          <w:tab w:val="clear" w:pos="-72"/>
          <w:tab w:val="clear" w:pos="118"/>
          <w:tab w:val="clear" w:pos="343"/>
          <w:tab w:val="clear" w:pos="540"/>
          <w:tab w:val="clear" w:pos="9360"/>
          <w:tab w:val="clear" w:pos="10710"/>
        </w:tabs>
        <w:rPr>
          <w:b/>
          <w:u w:val="single"/>
        </w:rPr>
      </w:pPr>
      <w:r>
        <w:rPr>
          <w:b/>
          <w:u w:val="single"/>
        </w:rPr>
        <w:br w:type="page"/>
      </w:r>
      <w:r w:rsidRPr="00564BE8">
        <w:rPr>
          <w:b/>
          <w:u w:val="single"/>
        </w:rPr>
        <w:lastRenderedPageBreak/>
        <w:t>SUMMARY</w:t>
      </w:r>
    </w:p>
    <w:p w14:paraId="724FBFF5" w14:textId="77777777" w:rsidR="001973CB" w:rsidRDefault="001973CB" w:rsidP="001973CB">
      <w:pPr>
        <w:jc w:val="both"/>
      </w:pPr>
    </w:p>
    <w:p w14:paraId="78841F4C" w14:textId="77777777" w:rsidR="001973CB" w:rsidRDefault="001973CB" w:rsidP="001973CB">
      <w:pPr>
        <w:jc w:val="both"/>
      </w:pPr>
      <w:r>
        <w:t xml:space="preserve">The Borough of Edgewater intends to spend affordable housing trust fund revenues consistent with the requirements of </w:t>
      </w:r>
      <w:r>
        <w:rPr>
          <w:rFonts w:ascii="Times" w:hAnsi="Times" w:cs="Times"/>
          <w:color w:val="000000"/>
        </w:rPr>
        <w:t>N.J.A.C. 5:97-8.10 and N.J.A.C. 5:96-5.3</w:t>
      </w:r>
      <w:r>
        <w:t xml:space="preserve">. </w:t>
      </w:r>
      <w:r w:rsidRPr="00117A60">
        <w:t xml:space="preserve">The </w:t>
      </w:r>
      <w:r>
        <w:t>Borough</w:t>
      </w:r>
      <w:r w:rsidRPr="00117A60">
        <w:t xml:space="preserve"> of </w:t>
      </w:r>
      <w:r w:rsidRPr="00AD1612">
        <w:t xml:space="preserve">Edgewater has a balance of </w:t>
      </w:r>
      <w:r w:rsidRPr="00AD1612">
        <w:rPr>
          <w:rStyle w:val="bld1"/>
          <w:b w:val="0"/>
          <w:bCs w:val="0"/>
        </w:rPr>
        <w:t>$</w:t>
      </w:r>
      <w:r w:rsidRPr="007856B2">
        <w:rPr>
          <w:rStyle w:val="bld1"/>
          <w:b w:val="0"/>
          <w:bCs w:val="0"/>
        </w:rPr>
        <w:t>62,577</w:t>
      </w:r>
      <w:r>
        <w:rPr>
          <w:rStyle w:val="bld1"/>
          <w:b w:val="0"/>
          <w:bCs w:val="0"/>
        </w:rPr>
        <w:t xml:space="preserve">.77 </w:t>
      </w:r>
      <w:r w:rsidRPr="00AD1612">
        <w:rPr>
          <w:iCs/>
        </w:rPr>
        <w:t>as of December 31, 2021.  The Borough</w:t>
      </w:r>
      <w:r w:rsidRPr="00AD1612">
        <w:t xml:space="preserve"> anticipates an additional $</w:t>
      </w:r>
      <w:r>
        <w:t>241,050</w:t>
      </w:r>
      <w:r w:rsidRPr="00AD1612">
        <w:t xml:space="preserve"> in revenues before the end of the Third Round, for a total of $</w:t>
      </w:r>
      <w:r>
        <w:t>304,027.77</w:t>
      </w:r>
      <w:r w:rsidRPr="00AD1612">
        <w:rPr>
          <w:i/>
          <w:iCs/>
        </w:rPr>
        <w:t>.</w:t>
      </w:r>
      <w:r w:rsidRPr="00AD1612">
        <w:rPr>
          <w:i/>
          <w:iCs/>
          <w:color w:val="FF0000"/>
        </w:rPr>
        <w:t xml:space="preserve">  </w:t>
      </w:r>
      <w:r w:rsidRPr="00AD1612">
        <w:t>The municipality will dedicate up to $</w:t>
      </w:r>
      <w:r>
        <w:t>60</w:t>
      </w:r>
      <w:r w:rsidRPr="00AD1612">
        <w:t>,000 towards its Rehabilitation Program</w:t>
      </w:r>
      <w:r>
        <w:t xml:space="preserve">, $15,031 for affordability assistance, </w:t>
      </w:r>
      <w:r w:rsidRPr="00AD1612">
        <w:t>and up to $</w:t>
      </w:r>
      <w:r>
        <w:t>228,997</w:t>
      </w:r>
      <w:r w:rsidRPr="00AD1612">
        <w:t xml:space="preserve"> for administrative</w:t>
      </w:r>
      <w:r w:rsidRPr="00117A60">
        <w:t xml:space="preserve"> costs.  </w:t>
      </w:r>
    </w:p>
    <w:p w14:paraId="7FB1AC34" w14:textId="77777777" w:rsidR="001973CB" w:rsidRDefault="001973CB" w:rsidP="001973CB">
      <w:pPr>
        <w:jc w:val="both"/>
        <w:rPr>
          <w:color w:val="FF0000"/>
        </w:rPr>
      </w:pPr>
    </w:p>
    <w:tbl>
      <w:tblPr>
        <w:tblpPr w:leftFromText="180" w:rightFromText="180" w:vertAnchor="text" w:horzAnchor="margin" w:tblpY="159"/>
        <w:tblW w:w="9415" w:type="dxa"/>
        <w:tblLook w:val="04A0" w:firstRow="1" w:lastRow="0" w:firstColumn="1" w:lastColumn="0" w:noHBand="0" w:noVBand="1"/>
      </w:tblPr>
      <w:tblGrid>
        <w:gridCol w:w="2849"/>
        <w:gridCol w:w="1099"/>
        <w:gridCol w:w="1118"/>
        <w:gridCol w:w="1004"/>
        <w:gridCol w:w="569"/>
        <w:gridCol w:w="357"/>
        <w:gridCol w:w="145"/>
        <w:gridCol w:w="2274"/>
      </w:tblGrid>
      <w:tr w:rsidR="001973CB" w:rsidRPr="000D1981" w14:paraId="4978BE42" w14:textId="77777777" w:rsidTr="009A56C1">
        <w:trPr>
          <w:trHeight w:hRule="exact" w:val="360"/>
        </w:trPr>
        <w:tc>
          <w:tcPr>
            <w:tcW w:w="9415" w:type="dxa"/>
            <w:gridSpan w:val="8"/>
            <w:tcBorders>
              <w:top w:val="single" w:sz="8" w:space="0" w:color="auto"/>
              <w:left w:val="single" w:sz="8" w:space="0" w:color="auto"/>
              <w:bottom w:val="single" w:sz="4" w:space="0" w:color="auto"/>
              <w:right w:val="single" w:sz="8" w:space="0" w:color="000000"/>
            </w:tcBorders>
            <w:shd w:val="clear" w:color="000000" w:fill="A5A5A5"/>
            <w:vAlign w:val="bottom"/>
            <w:hideMark/>
          </w:tcPr>
          <w:p w14:paraId="5E2841FF" w14:textId="77777777" w:rsidR="001973CB" w:rsidRPr="000D1981" w:rsidRDefault="001973CB" w:rsidP="009A56C1">
            <w:pPr>
              <w:jc w:val="center"/>
              <w:rPr>
                <w:b/>
                <w:bCs/>
                <w:sz w:val="32"/>
                <w:szCs w:val="32"/>
              </w:rPr>
            </w:pPr>
            <w:r>
              <w:rPr>
                <w:b/>
                <w:bCs/>
                <w:sz w:val="32"/>
                <w:szCs w:val="32"/>
              </w:rPr>
              <w:t>Edgewater</w:t>
            </w:r>
            <w:r w:rsidRPr="000D1981">
              <w:rPr>
                <w:b/>
                <w:bCs/>
                <w:sz w:val="32"/>
                <w:szCs w:val="32"/>
              </w:rPr>
              <w:t xml:space="preserve"> Spending Plan Summary</w:t>
            </w:r>
          </w:p>
        </w:tc>
      </w:tr>
      <w:tr w:rsidR="001973CB" w:rsidRPr="000D1981" w14:paraId="52A277F4"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3827D606" w14:textId="77777777" w:rsidR="001973CB" w:rsidRPr="000D1981" w:rsidRDefault="001973CB" w:rsidP="009A56C1">
            <w:pPr>
              <w:rPr>
                <w:b/>
                <w:bCs/>
              </w:rPr>
            </w:pPr>
            <w:r>
              <w:rPr>
                <w:b/>
                <w:bCs/>
              </w:rPr>
              <w:t>Balance as of 12/31/21</w:t>
            </w:r>
          </w:p>
        </w:tc>
        <w:tc>
          <w:tcPr>
            <w:tcW w:w="357" w:type="dxa"/>
            <w:tcBorders>
              <w:top w:val="nil"/>
              <w:left w:val="nil"/>
              <w:bottom w:val="single" w:sz="4" w:space="0" w:color="auto"/>
              <w:right w:val="single" w:sz="4" w:space="0" w:color="auto"/>
            </w:tcBorders>
            <w:shd w:val="clear" w:color="auto" w:fill="auto"/>
            <w:noWrap/>
            <w:vAlign w:val="bottom"/>
            <w:hideMark/>
          </w:tcPr>
          <w:p w14:paraId="6B4A7B2B" w14:textId="77777777" w:rsidR="001973CB" w:rsidRPr="000D1981" w:rsidRDefault="001973CB" w:rsidP="009A56C1">
            <w:pPr>
              <w:rPr>
                <w:color w:val="000000"/>
              </w:rPr>
            </w:pPr>
            <w:r w:rsidRPr="000D1981">
              <w:rPr>
                <w:color w:val="000000"/>
              </w:rPr>
              <w:t> </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23641C68" w14:textId="77777777" w:rsidR="001973CB" w:rsidRPr="00014A08" w:rsidRDefault="001973CB" w:rsidP="009A56C1">
            <w:pPr>
              <w:jc w:val="center"/>
              <w:rPr>
                <w:b/>
                <w:bCs/>
                <w:color w:val="000000"/>
              </w:rPr>
            </w:pPr>
            <w:r w:rsidRPr="00014A08">
              <w:rPr>
                <w:b/>
                <w:color w:val="000000"/>
              </w:rPr>
              <w:t>$62,577.77</w:t>
            </w:r>
          </w:p>
        </w:tc>
      </w:tr>
      <w:tr w:rsidR="001973CB" w:rsidRPr="000D1981" w14:paraId="04A77B0E" w14:textId="77777777" w:rsidTr="009A56C1">
        <w:trPr>
          <w:trHeight w:hRule="exact" w:val="360"/>
        </w:trPr>
        <w:tc>
          <w:tcPr>
            <w:tcW w:w="2849" w:type="dxa"/>
            <w:tcBorders>
              <w:top w:val="single" w:sz="4" w:space="0" w:color="auto"/>
              <w:left w:val="single" w:sz="8" w:space="0" w:color="auto"/>
              <w:bottom w:val="single" w:sz="4" w:space="0" w:color="auto"/>
              <w:right w:val="nil"/>
            </w:tcBorders>
            <w:shd w:val="clear" w:color="auto" w:fill="auto"/>
            <w:vAlign w:val="bottom"/>
            <w:hideMark/>
          </w:tcPr>
          <w:p w14:paraId="3DE0B1FE" w14:textId="77777777" w:rsidR="001973CB" w:rsidRPr="000D1981" w:rsidRDefault="001973CB" w:rsidP="009A56C1">
            <w:pPr>
              <w:rPr>
                <w:b/>
                <w:bCs/>
              </w:rPr>
            </w:pPr>
            <w:r w:rsidRPr="000D1981">
              <w:rPr>
                <w:b/>
                <w:bCs/>
              </w:rPr>
              <w:t> </w:t>
            </w:r>
          </w:p>
        </w:tc>
        <w:tc>
          <w:tcPr>
            <w:tcW w:w="1099" w:type="dxa"/>
            <w:tcBorders>
              <w:top w:val="nil"/>
              <w:left w:val="nil"/>
              <w:bottom w:val="single" w:sz="4" w:space="0" w:color="auto"/>
              <w:right w:val="nil"/>
            </w:tcBorders>
            <w:shd w:val="clear" w:color="auto" w:fill="auto"/>
            <w:vAlign w:val="bottom"/>
            <w:hideMark/>
          </w:tcPr>
          <w:p w14:paraId="70193BC1" w14:textId="77777777" w:rsidR="001973CB" w:rsidRPr="000D1981" w:rsidRDefault="001973CB" w:rsidP="009A56C1">
            <w:pPr>
              <w:rPr>
                <w:b/>
                <w:bCs/>
              </w:rPr>
            </w:pPr>
            <w:r w:rsidRPr="000D1981">
              <w:rPr>
                <w:b/>
                <w:bCs/>
              </w:rPr>
              <w:t> </w:t>
            </w:r>
          </w:p>
        </w:tc>
        <w:tc>
          <w:tcPr>
            <w:tcW w:w="1118" w:type="dxa"/>
            <w:tcBorders>
              <w:top w:val="nil"/>
              <w:left w:val="nil"/>
              <w:bottom w:val="single" w:sz="4" w:space="0" w:color="auto"/>
              <w:right w:val="nil"/>
            </w:tcBorders>
            <w:shd w:val="clear" w:color="auto" w:fill="auto"/>
            <w:vAlign w:val="bottom"/>
            <w:hideMark/>
          </w:tcPr>
          <w:p w14:paraId="13165D31" w14:textId="77777777" w:rsidR="001973CB" w:rsidRPr="000D1981" w:rsidRDefault="001973CB" w:rsidP="009A56C1">
            <w:pPr>
              <w:rPr>
                <w:b/>
                <w:bCs/>
              </w:rPr>
            </w:pPr>
            <w:r w:rsidRPr="000D1981">
              <w:rPr>
                <w:b/>
                <w:bCs/>
              </w:rPr>
              <w:t> </w:t>
            </w:r>
          </w:p>
        </w:tc>
        <w:tc>
          <w:tcPr>
            <w:tcW w:w="1004" w:type="dxa"/>
            <w:tcBorders>
              <w:top w:val="nil"/>
              <w:left w:val="nil"/>
              <w:bottom w:val="single" w:sz="4" w:space="0" w:color="auto"/>
              <w:right w:val="nil"/>
            </w:tcBorders>
            <w:shd w:val="clear" w:color="auto" w:fill="auto"/>
            <w:vAlign w:val="bottom"/>
            <w:hideMark/>
          </w:tcPr>
          <w:p w14:paraId="5C01E0DD" w14:textId="77777777" w:rsidR="001973CB" w:rsidRPr="000D1981" w:rsidRDefault="001973CB" w:rsidP="009A56C1">
            <w:pPr>
              <w:rPr>
                <w:b/>
                <w:bCs/>
              </w:rPr>
            </w:pPr>
            <w:r w:rsidRPr="000D1981">
              <w:rPr>
                <w:b/>
                <w:bCs/>
              </w:rPr>
              <w:t> </w:t>
            </w:r>
          </w:p>
        </w:tc>
        <w:tc>
          <w:tcPr>
            <w:tcW w:w="1071" w:type="dxa"/>
            <w:gridSpan w:val="3"/>
            <w:tcBorders>
              <w:top w:val="nil"/>
              <w:left w:val="nil"/>
              <w:bottom w:val="single" w:sz="4" w:space="0" w:color="auto"/>
              <w:right w:val="nil"/>
            </w:tcBorders>
            <w:shd w:val="clear" w:color="auto" w:fill="auto"/>
            <w:vAlign w:val="bottom"/>
          </w:tcPr>
          <w:p w14:paraId="4F1C63BD" w14:textId="77777777" w:rsidR="001973CB" w:rsidRPr="000D1981" w:rsidRDefault="001973CB" w:rsidP="009A56C1">
            <w:pPr>
              <w:rPr>
                <w:b/>
                <w:bCs/>
              </w:rPr>
            </w:pPr>
          </w:p>
        </w:tc>
        <w:tc>
          <w:tcPr>
            <w:tcW w:w="2274" w:type="dxa"/>
            <w:tcBorders>
              <w:top w:val="nil"/>
              <w:left w:val="nil"/>
              <w:bottom w:val="single" w:sz="4" w:space="0" w:color="auto"/>
              <w:right w:val="single" w:sz="4" w:space="0" w:color="auto"/>
            </w:tcBorders>
            <w:shd w:val="clear" w:color="auto" w:fill="auto"/>
            <w:vAlign w:val="bottom"/>
          </w:tcPr>
          <w:p w14:paraId="0F2B2141" w14:textId="77777777" w:rsidR="001973CB" w:rsidRPr="000D1981" w:rsidRDefault="001973CB" w:rsidP="009A56C1">
            <w:pPr>
              <w:rPr>
                <w:color w:val="000000"/>
              </w:rPr>
            </w:pPr>
          </w:p>
        </w:tc>
      </w:tr>
      <w:tr w:rsidR="001973CB" w:rsidRPr="000D1981" w14:paraId="3B61FB50"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282883A8" w14:textId="77777777" w:rsidR="001973CB" w:rsidRPr="000D1981" w:rsidRDefault="001973CB" w:rsidP="009A56C1">
            <w:pPr>
              <w:rPr>
                <w:b/>
                <w:bCs/>
              </w:rPr>
            </w:pPr>
            <w:r w:rsidRPr="000D1981">
              <w:rPr>
                <w:b/>
                <w:bCs/>
              </w:rPr>
              <w:t xml:space="preserve">PROJECTED REVENUE </w:t>
            </w:r>
            <w:r>
              <w:rPr>
                <w:b/>
                <w:bCs/>
              </w:rPr>
              <w:t>2022</w:t>
            </w:r>
            <w:r w:rsidRPr="000D1981">
              <w:rPr>
                <w:b/>
                <w:bCs/>
              </w:rPr>
              <w:t>-2025</w:t>
            </w:r>
          </w:p>
        </w:tc>
        <w:tc>
          <w:tcPr>
            <w:tcW w:w="357" w:type="dxa"/>
            <w:tcBorders>
              <w:top w:val="nil"/>
              <w:left w:val="nil"/>
              <w:bottom w:val="single" w:sz="4" w:space="0" w:color="auto"/>
              <w:right w:val="single" w:sz="4" w:space="0" w:color="auto"/>
            </w:tcBorders>
            <w:shd w:val="clear" w:color="auto" w:fill="auto"/>
            <w:noWrap/>
            <w:vAlign w:val="bottom"/>
            <w:hideMark/>
          </w:tcPr>
          <w:p w14:paraId="354F8705" w14:textId="77777777" w:rsidR="001973CB" w:rsidRPr="000D1981" w:rsidRDefault="001973CB" w:rsidP="009A56C1">
            <w:pPr>
              <w:rPr>
                <w:color w:val="000000"/>
              </w:rPr>
            </w:pPr>
            <w:r w:rsidRPr="000D1981">
              <w:rPr>
                <w:color w:val="000000"/>
              </w:rPr>
              <w:t> </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46FB8D21" w14:textId="77777777" w:rsidR="001973CB" w:rsidRPr="000D1981" w:rsidRDefault="001973CB" w:rsidP="009A56C1">
            <w:pPr>
              <w:jc w:val="center"/>
              <w:rPr>
                <w:b/>
                <w:bCs/>
              </w:rPr>
            </w:pPr>
          </w:p>
        </w:tc>
      </w:tr>
      <w:tr w:rsidR="001973CB" w:rsidRPr="000D1981" w14:paraId="2600B3EA"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38F2FB1D" w14:textId="77777777" w:rsidR="001973CB" w:rsidRPr="000D1981" w:rsidRDefault="001973CB" w:rsidP="009A56C1">
            <w:pPr>
              <w:rPr>
                <w:b/>
                <w:bCs/>
              </w:rPr>
            </w:pPr>
            <w:r w:rsidRPr="000D1981">
              <w:rPr>
                <w:b/>
                <w:bCs/>
              </w:rPr>
              <w:t xml:space="preserve">     Development fees</w:t>
            </w:r>
          </w:p>
        </w:tc>
        <w:tc>
          <w:tcPr>
            <w:tcW w:w="357" w:type="dxa"/>
            <w:tcBorders>
              <w:top w:val="nil"/>
              <w:left w:val="nil"/>
              <w:bottom w:val="single" w:sz="4" w:space="0" w:color="auto"/>
              <w:right w:val="single" w:sz="4" w:space="0" w:color="auto"/>
            </w:tcBorders>
            <w:shd w:val="clear" w:color="auto" w:fill="auto"/>
            <w:noWrap/>
            <w:vAlign w:val="bottom"/>
            <w:hideMark/>
          </w:tcPr>
          <w:p w14:paraId="5C985336" w14:textId="77777777" w:rsidR="001973CB" w:rsidRPr="000D1981" w:rsidRDefault="001973CB" w:rsidP="009A56C1">
            <w:pPr>
              <w:jc w:val="center"/>
              <w:rPr>
                <w:color w:val="000000"/>
              </w:rPr>
            </w:pPr>
            <w:r w:rsidRPr="000D1981">
              <w:rPr>
                <w:color w:val="000000"/>
              </w:rPr>
              <w:t>+</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5ABD29FD" w14:textId="77777777" w:rsidR="001973CB" w:rsidRPr="000D1981" w:rsidRDefault="001973CB" w:rsidP="009A56C1">
            <w:pPr>
              <w:jc w:val="center"/>
              <w:rPr>
                <w:b/>
                <w:bCs/>
                <w:color w:val="000000"/>
              </w:rPr>
            </w:pPr>
            <w:r>
              <w:rPr>
                <w:b/>
                <w:bCs/>
                <w:color w:val="000000"/>
              </w:rPr>
              <w:t>$241,050</w:t>
            </w:r>
          </w:p>
        </w:tc>
      </w:tr>
      <w:tr w:rsidR="001973CB" w:rsidRPr="000D1981" w14:paraId="3E60AD81"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0402EC28" w14:textId="77777777" w:rsidR="001973CB" w:rsidRPr="000D1981" w:rsidRDefault="001973CB" w:rsidP="009A56C1">
            <w:pPr>
              <w:rPr>
                <w:b/>
                <w:bCs/>
              </w:rPr>
            </w:pPr>
            <w:r w:rsidRPr="000D1981">
              <w:rPr>
                <w:b/>
                <w:bCs/>
              </w:rPr>
              <w:t xml:space="preserve">     Payments in Lieu of Construction</w:t>
            </w:r>
          </w:p>
        </w:tc>
        <w:tc>
          <w:tcPr>
            <w:tcW w:w="357" w:type="dxa"/>
            <w:tcBorders>
              <w:top w:val="nil"/>
              <w:left w:val="nil"/>
              <w:bottom w:val="single" w:sz="4" w:space="0" w:color="auto"/>
              <w:right w:val="single" w:sz="4" w:space="0" w:color="auto"/>
            </w:tcBorders>
            <w:shd w:val="clear" w:color="auto" w:fill="auto"/>
            <w:noWrap/>
            <w:vAlign w:val="bottom"/>
            <w:hideMark/>
          </w:tcPr>
          <w:p w14:paraId="7F2A6D54" w14:textId="77777777" w:rsidR="001973CB" w:rsidRPr="000D1981" w:rsidRDefault="001973CB" w:rsidP="009A56C1">
            <w:pPr>
              <w:jc w:val="center"/>
              <w:rPr>
                <w:color w:val="000000"/>
              </w:rPr>
            </w:pPr>
            <w:r w:rsidRPr="000D1981">
              <w:rPr>
                <w:color w:val="000000"/>
              </w:rPr>
              <w:t>+</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19B13591" w14:textId="77777777" w:rsidR="001973CB" w:rsidRPr="000D1981" w:rsidRDefault="001973CB" w:rsidP="009A56C1">
            <w:pPr>
              <w:jc w:val="center"/>
              <w:rPr>
                <w:b/>
                <w:bCs/>
              </w:rPr>
            </w:pPr>
            <w:r>
              <w:rPr>
                <w:b/>
                <w:bCs/>
              </w:rPr>
              <w:t>$0</w:t>
            </w:r>
          </w:p>
        </w:tc>
      </w:tr>
      <w:tr w:rsidR="001973CB" w:rsidRPr="000D1981" w14:paraId="02497C6D"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1DECFFB0" w14:textId="77777777" w:rsidR="001973CB" w:rsidRPr="000D1981" w:rsidRDefault="001973CB" w:rsidP="009A56C1">
            <w:pPr>
              <w:rPr>
                <w:b/>
                <w:bCs/>
              </w:rPr>
            </w:pPr>
            <w:r w:rsidRPr="000D1981">
              <w:rPr>
                <w:b/>
                <w:bCs/>
              </w:rPr>
              <w:t xml:space="preserve">     Other Funds  </w:t>
            </w:r>
          </w:p>
        </w:tc>
        <w:tc>
          <w:tcPr>
            <w:tcW w:w="357" w:type="dxa"/>
            <w:tcBorders>
              <w:top w:val="nil"/>
              <w:left w:val="nil"/>
              <w:bottom w:val="single" w:sz="4" w:space="0" w:color="auto"/>
              <w:right w:val="single" w:sz="4" w:space="0" w:color="auto"/>
            </w:tcBorders>
            <w:shd w:val="clear" w:color="auto" w:fill="auto"/>
            <w:noWrap/>
            <w:vAlign w:val="bottom"/>
            <w:hideMark/>
          </w:tcPr>
          <w:p w14:paraId="2819C3E7" w14:textId="77777777" w:rsidR="001973CB" w:rsidRPr="000D1981" w:rsidRDefault="001973CB" w:rsidP="009A56C1">
            <w:pPr>
              <w:jc w:val="center"/>
              <w:rPr>
                <w:color w:val="000000"/>
              </w:rPr>
            </w:pPr>
            <w:r w:rsidRPr="000D1981">
              <w:rPr>
                <w:color w:val="000000"/>
              </w:rPr>
              <w:t>+</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7F7D3AE6" w14:textId="77777777" w:rsidR="001973CB" w:rsidRPr="000D1981" w:rsidRDefault="001973CB" w:rsidP="009A56C1">
            <w:pPr>
              <w:jc w:val="center"/>
              <w:rPr>
                <w:b/>
                <w:bCs/>
              </w:rPr>
            </w:pPr>
            <w:r>
              <w:rPr>
                <w:b/>
                <w:bCs/>
              </w:rPr>
              <w:t>$0</w:t>
            </w:r>
          </w:p>
        </w:tc>
      </w:tr>
      <w:tr w:rsidR="001973CB" w:rsidRPr="000D1981" w14:paraId="48F3DCE6"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5837003E" w14:textId="77777777" w:rsidR="001973CB" w:rsidRPr="000D1981" w:rsidRDefault="001973CB" w:rsidP="009A56C1">
            <w:pPr>
              <w:rPr>
                <w:b/>
                <w:bCs/>
              </w:rPr>
            </w:pPr>
            <w:r w:rsidRPr="000D1981">
              <w:rPr>
                <w:b/>
                <w:bCs/>
              </w:rPr>
              <w:t xml:space="preserve">     Interest</w:t>
            </w:r>
          </w:p>
        </w:tc>
        <w:tc>
          <w:tcPr>
            <w:tcW w:w="357" w:type="dxa"/>
            <w:tcBorders>
              <w:top w:val="nil"/>
              <w:left w:val="nil"/>
              <w:bottom w:val="single" w:sz="4" w:space="0" w:color="auto"/>
              <w:right w:val="single" w:sz="4" w:space="0" w:color="auto"/>
            </w:tcBorders>
            <w:shd w:val="clear" w:color="auto" w:fill="auto"/>
            <w:noWrap/>
            <w:vAlign w:val="bottom"/>
            <w:hideMark/>
          </w:tcPr>
          <w:p w14:paraId="51112F87" w14:textId="77777777" w:rsidR="001973CB" w:rsidRPr="000D1981" w:rsidRDefault="001973CB" w:rsidP="009A56C1">
            <w:pPr>
              <w:jc w:val="center"/>
              <w:rPr>
                <w:color w:val="000000"/>
              </w:rPr>
            </w:pPr>
            <w:r w:rsidRPr="000D1981">
              <w:rPr>
                <w:color w:val="000000"/>
              </w:rPr>
              <w:t>+</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1B593931" w14:textId="77777777" w:rsidR="001973CB" w:rsidRPr="000D1981" w:rsidRDefault="001973CB" w:rsidP="009A56C1">
            <w:pPr>
              <w:jc w:val="center"/>
              <w:rPr>
                <w:b/>
                <w:bCs/>
              </w:rPr>
            </w:pPr>
            <w:r>
              <w:rPr>
                <w:b/>
                <w:bCs/>
              </w:rPr>
              <w:t>$400</w:t>
            </w:r>
          </w:p>
        </w:tc>
      </w:tr>
      <w:tr w:rsidR="001973CB" w:rsidRPr="000D1981" w14:paraId="070ACF07" w14:textId="77777777" w:rsidTr="009A56C1">
        <w:trPr>
          <w:trHeight w:hRule="exact" w:val="360"/>
        </w:trPr>
        <w:tc>
          <w:tcPr>
            <w:tcW w:w="2849" w:type="dxa"/>
            <w:tcBorders>
              <w:top w:val="single" w:sz="4" w:space="0" w:color="auto"/>
              <w:left w:val="single" w:sz="8" w:space="0" w:color="auto"/>
              <w:bottom w:val="single" w:sz="4" w:space="0" w:color="auto"/>
              <w:right w:val="nil"/>
            </w:tcBorders>
            <w:shd w:val="clear" w:color="auto" w:fill="auto"/>
            <w:vAlign w:val="bottom"/>
            <w:hideMark/>
          </w:tcPr>
          <w:p w14:paraId="4E6E4410" w14:textId="77777777" w:rsidR="001973CB" w:rsidRPr="000D1981" w:rsidRDefault="001973CB" w:rsidP="009A56C1">
            <w:pPr>
              <w:rPr>
                <w:b/>
                <w:bCs/>
              </w:rPr>
            </w:pPr>
            <w:r w:rsidRPr="000D1981">
              <w:rPr>
                <w:b/>
                <w:bCs/>
              </w:rPr>
              <w:t> </w:t>
            </w:r>
          </w:p>
        </w:tc>
        <w:tc>
          <w:tcPr>
            <w:tcW w:w="1099" w:type="dxa"/>
            <w:tcBorders>
              <w:top w:val="nil"/>
              <w:left w:val="nil"/>
              <w:bottom w:val="single" w:sz="4" w:space="0" w:color="auto"/>
              <w:right w:val="nil"/>
            </w:tcBorders>
            <w:shd w:val="clear" w:color="auto" w:fill="auto"/>
            <w:vAlign w:val="bottom"/>
            <w:hideMark/>
          </w:tcPr>
          <w:p w14:paraId="7735F1DA" w14:textId="77777777" w:rsidR="001973CB" w:rsidRPr="000D1981" w:rsidRDefault="001973CB" w:rsidP="009A56C1">
            <w:pPr>
              <w:rPr>
                <w:b/>
                <w:bCs/>
              </w:rPr>
            </w:pPr>
            <w:r w:rsidRPr="000D1981">
              <w:rPr>
                <w:b/>
                <w:bCs/>
              </w:rPr>
              <w:t> </w:t>
            </w:r>
          </w:p>
        </w:tc>
        <w:tc>
          <w:tcPr>
            <w:tcW w:w="1118" w:type="dxa"/>
            <w:tcBorders>
              <w:top w:val="nil"/>
              <w:left w:val="nil"/>
              <w:bottom w:val="single" w:sz="4" w:space="0" w:color="auto"/>
              <w:right w:val="nil"/>
            </w:tcBorders>
            <w:shd w:val="clear" w:color="auto" w:fill="auto"/>
            <w:vAlign w:val="bottom"/>
            <w:hideMark/>
          </w:tcPr>
          <w:p w14:paraId="6B8C2271" w14:textId="77777777" w:rsidR="001973CB" w:rsidRPr="000D1981" w:rsidRDefault="001973CB" w:rsidP="009A56C1">
            <w:pPr>
              <w:rPr>
                <w:b/>
                <w:bCs/>
              </w:rPr>
            </w:pPr>
            <w:r w:rsidRPr="000D1981">
              <w:rPr>
                <w:b/>
                <w:bCs/>
              </w:rPr>
              <w:t> </w:t>
            </w:r>
          </w:p>
        </w:tc>
        <w:tc>
          <w:tcPr>
            <w:tcW w:w="1004" w:type="dxa"/>
            <w:tcBorders>
              <w:top w:val="nil"/>
              <w:left w:val="nil"/>
              <w:bottom w:val="single" w:sz="4" w:space="0" w:color="auto"/>
              <w:right w:val="nil"/>
            </w:tcBorders>
            <w:shd w:val="clear" w:color="auto" w:fill="auto"/>
            <w:vAlign w:val="bottom"/>
            <w:hideMark/>
          </w:tcPr>
          <w:p w14:paraId="7A1238C4" w14:textId="77777777" w:rsidR="001973CB" w:rsidRPr="000D1981" w:rsidRDefault="001973CB" w:rsidP="009A56C1">
            <w:pPr>
              <w:rPr>
                <w:b/>
                <w:bCs/>
              </w:rPr>
            </w:pPr>
            <w:r w:rsidRPr="000D1981">
              <w:rPr>
                <w:b/>
                <w:bCs/>
              </w:rPr>
              <w:t> </w:t>
            </w:r>
          </w:p>
        </w:tc>
        <w:tc>
          <w:tcPr>
            <w:tcW w:w="1071" w:type="dxa"/>
            <w:gridSpan w:val="3"/>
            <w:tcBorders>
              <w:top w:val="nil"/>
              <w:left w:val="nil"/>
              <w:bottom w:val="single" w:sz="4" w:space="0" w:color="auto"/>
              <w:right w:val="nil"/>
            </w:tcBorders>
            <w:shd w:val="clear" w:color="auto" w:fill="auto"/>
            <w:vAlign w:val="bottom"/>
          </w:tcPr>
          <w:p w14:paraId="2818B0D0" w14:textId="77777777" w:rsidR="001973CB" w:rsidRPr="000D1981" w:rsidRDefault="001973CB" w:rsidP="009A56C1">
            <w:pPr>
              <w:rPr>
                <w:b/>
                <w:bCs/>
              </w:rPr>
            </w:pPr>
          </w:p>
        </w:tc>
        <w:tc>
          <w:tcPr>
            <w:tcW w:w="2274" w:type="dxa"/>
            <w:tcBorders>
              <w:top w:val="nil"/>
              <w:left w:val="nil"/>
              <w:bottom w:val="single" w:sz="4" w:space="0" w:color="auto"/>
              <w:right w:val="single" w:sz="4" w:space="0" w:color="auto"/>
            </w:tcBorders>
            <w:shd w:val="clear" w:color="auto" w:fill="auto"/>
            <w:vAlign w:val="bottom"/>
          </w:tcPr>
          <w:p w14:paraId="5643EDE8" w14:textId="77777777" w:rsidR="001973CB" w:rsidRPr="000D1981" w:rsidRDefault="001973CB" w:rsidP="009A56C1">
            <w:pPr>
              <w:rPr>
                <w:color w:val="000000"/>
              </w:rPr>
            </w:pPr>
          </w:p>
        </w:tc>
      </w:tr>
      <w:tr w:rsidR="001973CB" w:rsidRPr="000D1981" w14:paraId="4D8DA6CA"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44B4E8AE" w14:textId="77777777" w:rsidR="001973CB" w:rsidRPr="000D1981" w:rsidRDefault="001973CB" w:rsidP="009A56C1">
            <w:pPr>
              <w:rPr>
                <w:b/>
                <w:bCs/>
              </w:rPr>
            </w:pPr>
            <w:r w:rsidRPr="000D1981">
              <w:rPr>
                <w:b/>
                <w:bCs/>
              </w:rPr>
              <w:t xml:space="preserve">      TOTAL AVAILABLE FUNDS</w:t>
            </w:r>
          </w:p>
        </w:tc>
        <w:tc>
          <w:tcPr>
            <w:tcW w:w="357" w:type="dxa"/>
            <w:tcBorders>
              <w:top w:val="nil"/>
              <w:left w:val="nil"/>
              <w:bottom w:val="single" w:sz="4" w:space="0" w:color="auto"/>
              <w:right w:val="single" w:sz="4" w:space="0" w:color="auto"/>
            </w:tcBorders>
            <w:shd w:val="clear" w:color="auto" w:fill="auto"/>
            <w:noWrap/>
            <w:vAlign w:val="bottom"/>
            <w:hideMark/>
          </w:tcPr>
          <w:p w14:paraId="6B4F2A55" w14:textId="77777777" w:rsidR="001973CB" w:rsidRPr="000D1981" w:rsidRDefault="001973CB" w:rsidP="009A56C1">
            <w:pPr>
              <w:jc w:val="center"/>
              <w:rPr>
                <w:color w:val="000000"/>
              </w:rPr>
            </w:pPr>
            <w:r w:rsidRPr="000D1981">
              <w:rPr>
                <w:color w:val="000000"/>
              </w:rPr>
              <w:t>=</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5717F7E3" w14:textId="77777777" w:rsidR="001973CB" w:rsidRPr="000D1981" w:rsidRDefault="001973CB" w:rsidP="009A56C1">
            <w:pPr>
              <w:jc w:val="center"/>
              <w:rPr>
                <w:b/>
                <w:bCs/>
              </w:rPr>
            </w:pPr>
            <w:r>
              <w:rPr>
                <w:b/>
                <w:bCs/>
              </w:rPr>
              <w:t>$304,028</w:t>
            </w:r>
          </w:p>
        </w:tc>
      </w:tr>
      <w:tr w:rsidR="001973CB" w:rsidRPr="000D1981" w14:paraId="34E4F570" w14:textId="77777777" w:rsidTr="009A56C1">
        <w:trPr>
          <w:trHeight w:hRule="exact" w:val="360"/>
        </w:trPr>
        <w:tc>
          <w:tcPr>
            <w:tcW w:w="9415" w:type="dxa"/>
            <w:gridSpan w:val="8"/>
            <w:tcBorders>
              <w:top w:val="single" w:sz="4" w:space="0" w:color="auto"/>
              <w:left w:val="single" w:sz="8" w:space="0" w:color="auto"/>
              <w:bottom w:val="single" w:sz="4" w:space="0" w:color="auto"/>
              <w:right w:val="single" w:sz="8" w:space="0" w:color="000000"/>
            </w:tcBorders>
            <w:shd w:val="clear" w:color="000000" w:fill="BFBFBF"/>
            <w:vAlign w:val="bottom"/>
          </w:tcPr>
          <w:p w14:paraId="4E447FBB" w14:textId="77777777" w:rsidR="001973CB" w:rsidRPr="000D1981" w:rsidRDefault="001973CB" w:rsidP="009A56C1">
            <w:pPr>
              <w:jc w:val="center"/>
              <w:rPr>
                <w:b/>
                <w:bCs/>
              </w:rPr>
            </w:pPr>
          </w:p>
        </w:tc>
      </w:tr>
      <w:tr w:rsidR="001973CB" w:rsidRPr="000D1981" w14:paraId="23537CAB"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4EA88E9F" w14:textId="77777777" w:rsidR="001973CB" w:rsidRPr="000D1981" w:rsidRDefault="001973CB" w:rsidP="009A56C1">
            <w:pPr>
              <w:rPr>
                <w:b/>
                <w:bCs/>
              </w:rPr>
            </w:pPr>
            <w:r w:rsidRPr="000D1981">
              <w:rPr>
                <w:b/>
                <w:bCs/>
              </w:rPr>
              <w:t xml:space="preserve">PROJECTED EXPENDITURES </w:t>
            </w:r>
            <w:r>
              <w:rPr>
                <w:b/>
                <w:bCs/>
              </w:rPr>
              <w:t>2022</w:t>
            </w:r>
            <w:r w:rsidRPr="000D1981">
              <w:rPr>
                <w:b/>
                <w:bCs/>
              </w:rPr>
              <w:t>-2025</w:t>
            </w:r>
          </w:p>
        </w:tc>
        <w:tc>
          <w:tcPr>
            <w:tcW w:w="357" w:type="dxa"/>
            <w:tcBorders>
              <w:top w:val="nil"/>
              <w:left w:val="nil"/>
              <w:bottom w:val="single" w:sz="4" w:space="0" w:color="auto"/>
              <w:right w:val="single" w:sz="4" w:space="0" w:color="auto"/>
            </w:tcBorders>
            <w:shd w:val="clear" w:color="auto" w:fill="auto"/>
            <w:noWrap/>
            <w:vAlign w:val="bottom"/>
            <w:hideMark/>
          </w:tcPr>
          <w:p w14:paraId="337447CC" w14:textId="77777777" w:rsidR="001973CB" w:rsidRPr="000D1981" w:rsidRDefault="001973CB" w:rsidP="009A56C1">
            <w:pPr>
              <w:rPr>
                <w:color w:val="000000"/>
              </w:rPr>
            </w:pPr>
            <w:r w:rsidRPr="000D1981">
              <w:rPr>
                <w:color w:val="000000"/>
              </w:rPr>
              <w:t> </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0EF33561" w14:textId="77777777" w:rsidR="001973CB" w:rsidRPr="000D1981" w:rsidRDefault="001973CB" w:rsidP="009A56C1">
            <w:pPr>
              <w:jc w:val="center"/>
              <w:rPr>
                <w:b/>
                <w:bCs/>
              </w:rPr>
            </w:pPr>
          </w:p>
        </w:tc>
      </w:tr>
      <w:tr w:rsidR="001973CB" w:rsidRPr="000D1981" w14:paraId="6CA6CAEF"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54E268F6" w14:textId="77777777" w:rsidR="001973CB" w:rsidRPr="000D1981" w:rsidRDefault="001973CB" w:rsidP="009A56C1">
            <w:pPr>
              <w:rPr>
                <w:b/>
                <w:bCs/>
              </w:rPr>
            </w:pPr>
            <w:r w:rsidRPr="000D1981">
              <w:rPr>
                <w:b/>
                <w:bCs/>
              </w:rPr>
              <w:t>Rehabilitation Program</w:t>
            </w:r>
          </w:p>
        </w:tc>
        <w:tc>
          <w:tcPr>
            <w:tcW w:w="357" w:type="dxa"/>
            <w:tcBorders>
              <w:top w:val="nil"/>
              <w:left w:val="nil"/>
              <w:bottom w:val="single" w:sz="4" w:space="0" w:color="auto"/>
              <w:right w:val="single" w:sz="4" w:space="0" w:color="auto"/>
            </w:tcBorders>
            <w:shd w:val="clear" w:color="auto" w:fill="auto"/>
            <w:noWrap/>
            <w:vAlign w:val="bottom"/>
            <w:hideMark/>
          </w:tcPr>
          <w:p w14:paraId="0CE19217" w14:textId="77777777" w:rsidR="001973CB" w:rsidRPr="000D1981" w:rsidRDefault="001973CB" w:rsidP="009A56C1">
            <w:pPr>
              <w:jc w:val="center"/>
              <w:rPr>
                <w:color w:val="000000"/>
              </w:rPr>
            </w:pPr>
            <w:r w:rsidRPr="000D1981">
              <w:rPr>
                <w:color w:val="000000"/>
              </w:rPr>
              <w:t>+</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44AE4556" w14:textId="77777777" w:rsidR="001973CB" w:rsidRPr="000D1981" w:rsidRDefault="001973CB" w:rsidP="009A56C1">
            <w:pPr>
              <w:jc w:val="center"/>
              <w:rPr>
                <w:b/>
                <w:bCs/>
              </w:rPr>
            </w:pPr>
            <w:r>
              <w:rPr>
                <w:b/>
                <w:bCs/>
              </w:rPr>
              <w:t>$60,000</w:t>
            </w:r>
          </w:p>
        </w:tc>
      </w:tr>
      <w:tr w:rsidR="001973CB" w:rsidRPr="000D1981" w14:paraId="2029AB59"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tcPr>
          <w:p w14:paraId="55C412BB" w14:textId="77777777" w:rsidR="001973CB" w:rsidRPr="000D1981" w:rsidRDefault="001973CB" w:rsidP="009A56C1">
            <w:pPr>
              <w:rPr>
                <w:b/>
                <w:bCs/>
              </w:rPr>
            </w:pPr>
            <w:r>
              <w:rPr>
                <w:b/>
                <w:bCs/>
              </w:rPr>
              <w:t>Affordability Assistance</w:t>
            </w:r>
          </w:p>
        </w:tc>
        <w:tc>
          <w:tcPr>
            <w:tcW w:w="357" w:type="dxa"/>
            <w:tcBorders>
              <w:top w:val="nil"/>
              <w:left w:val="nil"/>
              <w:bottom w:val="single" w:sz="4" w:space="0" w:color="auto"/>
              <w:right w:val="single" w:sz="4" w:space="0" w:color="auto"/>
            </w:tcBorders>
            <w:shd w:val="clear" w:color="auto" w:fill="auto"/>
            <w:noWrap/>
            <w:vAlign w:val="bottom"/>
          </w:tcPr>
          <w:p w14:paraId="5E0F7CF4" w14:textId="77777777" w:rsidR="001973CB" w:rsidRPr="000D1981" w:rsidRDefault="001973CB" w:rsidP="009A56C1">
            <w:pPr>
              <w:jc w:val="center"/>
              <w:rPr>
                <w:color w:val="000000"/>
              </w:rPr>
            </w:pPr>
            <w:r>
              <w:rPr>
                <w:color w:val="000000"/>
              </w:rPr>
              <w:t>+</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1339817F" w14:textId="77777777" w:rsidR="001973CB" w:rsidRPr="00014A08" w:rsidRDefault="001973CB" w:rsidP="009A56C1">
            <w:pPr>
              <w:jc w:val="center"/>
              <w:rPr>
                <w:b/>
                <w:bCs/>
              </w:rPr>
            </w:pPr>
            <w:r>
              <w:rPr>
                <w:b/>
                <w:bCs/>
              </w:rPr>
              <w:t>$15,031</w:t>
            </w:r>
          </w:p>
        </w:tc>
      </w:tr>
      <w:tr w:rsidR="001973CB" w:rsidRPr="000D1981" w14:paraId="31E64412"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799F305F" w14:textId="77777777" w:rsidR="001973CB" w:rsidRPr="000D1981" w:rsidRDefault="001973CB" w:rsidP="009A56C1">
            <w:pPr>
              <w:rPr>
                <w:b/>
                <w:bCs/>
              </w:rPr>
            </w:pPr>
            <w:r w:rsidRPr="000D1981">
              <w:rPr>
                <w:b/>
                <w:bCs/>
              </w:rPr>
              <w:t xml:space="preserve">Administration </w:t>
            </w:r>
          </w:p>
        </w:tc>
        <w:tc>
          <w:tcPr>
            <w:tcW w:w="357" w:type="dxa"/>
            <w:tcBorders>
              <w:top w:val="nil"/>
              <w:left w:val="nil"/>
              <w:bottom w:val="single" w:sz="4" w:space="0" w:color="auto"/>
              <w:right w:val="single" w:sz="4" w:space="0" w:color="auto"/>
            </w:tcBorders>
            <w:shd w:val="clear" w:color="auto" w:fill="auto"/>
            <w:noWrap/>
            <w:vAlign w:val="bottom"/>
            <w:hideMark/>
          </w:tcPr>
          <w:p w14:paraId="6B0FB1CF" w14:textId="77777777" w:rsidR="001973CB" w:rsidRPr="000D1981" w:rsidRDefault="001973CB" w:rsidP="009A56C1">
            <w:pPr>
              <w:jc w:val="center"/>
              <w:rPr>
                <w:color w:val="000000"/>
              </w:rPr>
            </w:pPr>
            <w:r w:rsidRPr="000D1981">
              <w:rPr>
                <w:color w:val="000000"/>
              </w:rPr>
              <w:t>+</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5425316F" w14:textId="77777777" w:rsidR="001973CB" w:rsidRPr="00014A08" w:rsidRDefault="001973CB" w:rsidP="009A56C1">
            <w:pPr>
              <w:jc w:val="center"/>
              <w:rPr>
                <w:b/>
                <w:bCs/>
              </w:rPr>
            </w:pPr>
            <w:r w:rsidRPr="00014A08">
              <w:rPr>
                <w:b/>
                <w:bCs/>
              </w:rPr>
              <w:t>$</w:t>
            </w:r>
            <w:r>
              <w:rPr>
                <w:b/>
                <w:bCs/>
              </w:rPr>
              <w:t>228,997</w:t>
            </w:r>
          </w:p>
        </w:tc>
      </w:tr>
      <w:tr w:rsidR="001973CB" w:rsidRPr="000D1981" w14:paraId="6C4CBAE5"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69CE2AB9" w14:textId="77777777" w:rsidR="001973CB" w:rsidRPr="000D1981" w:rsidRDefault="001973CB" w:rsidP="009A56C1">
            <w:pPr>
              <w:rPr>
                <w:b/>
                <w:bCs/>
              </w:rPr>
            </w:pPr>
            <w:r w:rsidRPr="000D1981">
              <w:rPr>
                <w:b/>
                <w:bCs/>
              </w:rPr>
              <w:t> </w:t>
            </w:r>
          </w:p>
        </w:tc>
        <w:tc>
          <w:tcPr>
            <w:tcW w:w="357" w:type="dxa"/>
            <w:tcBorders>
              <w:top w:val="nil"/>
              <w:left w:val="nil"/>
              <w:bottom w:val="single" w:sz="4" w:space="0" w:color="auto"/>
              <w:right w:val="single" w:sz="4" w:space="0" w:color="auto"/>
            </w:tcBorders>
            <w:shd w:val="clear" w:color="auto" w:fill="auto"/>
            <w:noWrap/>
            <w:vAlign w:val="bottom"/>
            <w:hideMark/>
          </w:tcPr>
          <w:p w14:paraId="2549E04A" w14:textId="77777777" w:rsidR="001973CB" w:rsidRPr="000D1981" w:rsidRDefault="001973CB" w:rsidP="009A56C1">
            <w:pPr>
              <w:rPr>
                <w:color w:val="000000"/>
              </w:rPr>
            </w:pPr>
            <w:r w:rsidRPr="000D1981">
              <w:rPr>
                <w:color w:val="000000"/>
              </w:rPr>
              <w:t> </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1E2E2BA2" w14:textId="77777777" w:rsidR="001973CB" w:rsidRPr="000D1981" w:rsidRDefault="001973CB" w:rsidP="009A56C1">
            <w:pPr>
              <w:jc w:val="center"/>
              <w:rPr>
                <w:b/>
                <w:bCs/>
              </w:rPr>
            </w:pPr>
          </w:p>
        </w:tc>
      </w:tr>
      <w:tr w:rsidR="001973CB" w:rsidRPr="000D1981" w14:paraId="07140185"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56AAC340" w14:textId="77777777" w:rsidR="001973CB" w:rsidRPr="000D1981" w:rsidRDefault="001973CB" w:rsidP="009A56C1">
            <w:pPr>
              <w:rPr>
                <w:b/>
                <w:bCs/>
              </w:rPr>
            </w:pPr>
            <w:r w:rsidRPr="000D1981">
              <w:rPr>
                <w:b/>
                <w:bCs/>
              </w:rPr>
              <w:t>TOTAL PROJECTED EXPENDITURES</w:t>
            </w:r>
          </w:p>
        </w:tc>
        <w:tc>
          <w:tcPr>
            <w:tcW w:w="357" w:type="dxa"/>
            <w:tcBorders>
              <w:top w:val="nil"/>
              <w:left w:val="nil"/>
              <w:bottom w:val="single" w:sz="4" w:space="0" w:color="auto"/>
              <w:right w:val="single" w:sz="4" w:space="0" w:color="auto"/>
            </w:tcBorders>
            <w:shd w:val="clear" w:color="auto" w:fill="auto"/>
            <w:noWrap/>
            <w:vAlign w:val="bottom"/>
            <w:hideMark/>
          </w:tcPr>
          <w:p w14:paraId="701142FE" w14:textId="77777777" w:rsidR="001973CB" w:rsidRPr="000D1981" w:rsidRDefault="001973CB" w:rsidP="009A56C1">
            <w:pPr>
              <w:rPr>
                <w:color w:val="000000"/>
              </w:rPr>
            </w:pPr>
            <w:r w:rsidRPr="000D1981">
              <w:rPr>
                <w:color w:val="000000"/>
              </w:rPr>
              <w:t>=</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6143F4D2" w14:textId="77777777" w:rsidR="001973CB" w:rsidRPr="000D1981" w:rsidRDefault="001973CB" w:rsidP="009A56C1">
            <w:pPr>
              <w:jc w:val="center"/>
              <w:rPr>
                <w:b/>
                <w:bCs/>
              </w:rPr>
            </w:pPr>
            <w:r>
              <w:rPr>
                <w:b/>
                <w:bCs/>
              </w:rPr>
              <w:t>$304,028</w:t>
            </w:r>
          </w:p>
        </w:tc>
      </w:tr>
      <w:tr w:rsidR="001973CB" w:rsidRPr="000D1981" w14:paraId="4BC766BA" w14:textId="77777777" w:rsidTr="009A56C1">
        <w:trPr>
          <w:trHeight w:hRule="exact" w:val="360"/>
        </w:trPr>
        <w:tc>
          <w:tcPr>
            <w:tcW w:w="663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14:paraId="258B0E01" w14:textId="77777777" w:rsidR="001973CB" w:rsidRPr="000D1981" w:rsidRDefault="001973CB" w:rsidP="009A56C1">
            <w:pPr>
              <w:rPr>
                <w:b/>
                <w:bCs/>
              </w:rPr>
            </w:pPr>
            <w:r w:rsidRPr="000D1981">
              <w:rPr>
                <w:b/>
                <w:bCs/>
              </w:rPr>
              <w:t> </w:t>
            </w:r>
          </w:p>
        </w:tc>
        <w:tc>
          <w:tcPr>
            <w:tcW w:w="357" w:type="dxa"/>
            <w:tcBorders>
              <w:top w:val="nil"/>
              <w:left w:val="nil"/>
              <w:bottom w:val="single" w:sz="4" w:space="0" w:color="auto"/>
              <w:right w:val="single" w:sz="4" w:space="0" w:color="auto"/>
            </w:tcBorders>
            <w:shd w:val="clear" w:color="auto" w:fill="auto"/>
            <w:noWrap/>
            <w:vAlign w:val="bottom"/>
            <w:hideMark/>
          </w:tcPr>
          <w:p w14:paraId="62A5092A" w14:textId="77777777" w:rsidR="001973CB" w:rsidRPr="000D1981" w:rsidRDefault="001973CB" w:rsidP="009A56C1">
            <w:pPr>
              <w:rPr>
                <w:color w:val="000000"/>
              </w:rPr>
            </w:pPr>
            <w:r w:rsidRPr="000D1981">
              <w:rPr>
                <w:color w:val="000000"/>
              </w:rPr>
              <w:t> </w:t>
            </w:r>
          </w:p>
        </w:tc>
        <w:tc>
          <w:tcPr>
            <w:tcW w:w="2419" w:type="dxa"/>
            <w:gridSpan w:val="2"/>
            <w:tcBorders>
              <w:top w:val="single" w:sz="4" w:space="0" w:color="auto"/>
              <w:left w:val="nil"/>
              <w:bottom w:val="single" w:sz="4" w:space="0" w:color="auto"/>
              <w:right w:val="single" w:sz="8" w:space="0" w:color="000000"/>
            </w:tcBorders>
            <w:shd w:val="clear" w:color="auto" w:fill="auto"/>
            <w:noWrap/>
            <w:vAlign w:val="bottom"/>
          </w:tcPr>
          <w:p w14:paraId="705D7110" w14:textId="77777777" w:rsidR="001973CB" w:rsidRPr="000D1981" w:rsidRDefault="001973CB" w:rsidP="009A56C1">
            <w:pPr>
              <w:jc w:val="center"/>
              <w:rPr>
                <w:b/>
                <w:bCs/>
              </w:rPr>
            </w:pPr>
          </w:p>
        </w:tc>
      </w:tr>
      <w:tr w:rsidR="001973CB" w:rsidRPr="000D1981" w14:paraId="443228A7" w14:textId="77777777" w:rsidTr="009A56C1">
        <w:trPr>
          <w:trHeight w:hRule="exact" w:val="360"/>
        </w:trPr>
        <w:tc>
          <w:tcPr>
            <w:tcW w:w="6639"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14:paraId="3BBCC769" w14:textId="77777777" w:rsidR="001973CB" w:rsidRPr="000D1981" w:rsidRDefault="001973CB" w:rsidP="009A56C1">
            <w:pPr>
              <w:rPr>
                <w:b/>
                <w:bCs/>
              </w:rPr>
            </w:pPr>
            <w:r w:rsidRPr="000D1981">
              <w:rPr>
                <w:b/>
                <w:bCs/>
              </w:rPr>
              <w:t>REMAINING BALANCE</w:t>
            </w:r>
          </w:p>
        </w:tc>
        <w:tc>
          <w:tcPr>
            <w:tcW w:w="357" w:type="dxa"/>
            <w:tcBorders>
              <w:top w:val="nil"/>
              <w:left w:val="nil"/>
              <w:bottom w:val="single" w:sz="8" w:space="0" w:color="auto"/>
              <w:right w:val="single" w:sz="4" w:space="0" w:color="auto"/>
            </w:tcBorders>
            <w:shd w:val="clear" w:color="auto" w:fill="auto"/>
            <w:noWrap/>
            <w:vAlign w:val="bottom"/>
            <w:hideMark/>
          </w:tcPr>
          <w:p w14:paraId="543AD8D1" w14:textId="77777777" w:rsidR="001973CB" w:rsidRPr="000D1981" w:rsidRDefault="001973CB" w:rsidP="009A56C1">
            <w:pPr>
              <w:rPr>
                <w:color w:val="000000"/>
              </w:rPr>
            </w:pPr>
            <w:r w:rsidRPr="000D1981">
              <w:rPr>
                <w:color w:val="000000"/>
              </w:rPr>
              <w:t>=</w:t>
            </w:r>
          </w:p>
        </w:tc>
        <w:tc>
          <w:tcPr>
            <w:tcW w:w="2419" w:type="dxa"/>
            <w:gridSpan w:val="2"/>
            <w:tcBorders>
              <w:top w:val="single" w:sz="4" w:space="0" w:color="auto"/>
              <w:left w:val="nil"/>
              <w:bottom w:val="single" w:sz="8" w:space="0" w:color="auto"/>
              <w:right w:val="single" w:sz="8" w:space="0" w:color="000000"/>
            </w:tcBorders>
            <w:shd w:val="clear" w:color="auto" w:fill="auto"/>
            <w:noWrap/>
            <w:vAlign w:val="bottom"/>
          </w:tcPr>
          <w:p w14:paraId="709CA350" w14:textId="77777777" w:rsidR="001973CB" w:rsidRPr="00B857D5" w:rsidRDefault="001973CB" w:rsidP="009A56C1">
            <w:pPr>
              <w:jc w:val="center"/>
              <w:rPr>
                <w:b/>
                <w:bCs/>
              </w:rPr>
            </w:pPr>
            <w:r w:rsidRPr="00B857D5">
              <w:rPr>
                <w:b/>
                <w:bCs/>
              </w:rPr>
              <w:t>$</w:t>
            </w:r>
            <w:r>
              <w:rPr>
                <w:b/>
                <w:bCs/>
              </w:rPr>
              <w:t>0</w:t>
            </w:r>
          </w:p>
        </w:tc>
      </w:tr>
    </w:tbl>
    <w:p w14:paraId="534E5A6B" w14:textId="77777777" w:rsidR="001973CB" w:rsidRDefault="001973CB" w:rsidP="001973CB">
      <w:pPr>
        <w:tabs>
          <w:tab w:val="left" w:pos="-72"/>
          <w:tab w:val="left" w:pos="118"/>
          <w:tab w:val="left" w:pos="343"/>
          <w:tab w:val="left" w:pos="720"/>
          <w:tab w:val="left" w:pos="9360"/>
        </w:tabs>
        <w:jc w:val="both"/>
      </w:pPr>
    </w:p>
    <w:p w14:paraId="477350B1"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54B5"/>
    <w:multiLevelType w:val="hybridMultilevel"/>
    <w:tmpl w:val="8C82BEF4"/>
    <w:lvl w:ilvl="0" w:tplc="84041742">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2CDC27CA"/>
    <w:multiLevelType w:val="hybridMultilevel"/>
    <w:tmpl w:val="64BCFB3C"/>
    <w:lvl w:ilvl="0" w:tplc="EAF8B158">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530DBD"/>
    <w:multiLevelType w:val="hybridMultilevel"/>
    <w:tmpl w:val="C99019CA"/>
    <w:lvl w:ilvl="0" w:tplc="6A4662E0">
      <w:start w:val="1"/>
      <w:numFmt w:val="lowerLetter"/>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5E1005"/>
    <w:multiLevelType w:val="hybridMultilevel"/>
    <w:tmpl w:val="5BE85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E4411C"/>
    <w:multiLevelType w:val="hybridMultilevel"/>
    <w:tmpl w:val="151A03A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60F3188D"/>
    <w:multiLevelType w:val="hybridMultilevel"/>
    <w:tmpl w:val="E9F6133E"/>
    <w:lvl w:ilvl="0" w:tplc="2206A608">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198332">
    <w:abstractNumId w:val="0"/>
  </w:num>
  <w:num w:numId="2" w16cid:durableId="1614049672">
    <w:abstractNumId w:val="4"/>
  </w:num>
  <w:num w:numId="3" w16cid:durableId="1360357259">
    <w:abstractNumId w:val="5"/>
  </w:num>
  <w:num w:numId="4" w16cid:durableId="198587516">
    <w:abstractNumId w:val="1"/>
  </w:num>
  <w:num w:numId="5" w16cid:durableId="1133789655">
    <w:abstractNumId w:val="2"/>
  </w:num>
  <w:num w:numId="6" w16cid:durableId="36741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1973CB"/>
    <w:rsid w:val="001C5FC5"/>
    <w:rsid w:val="008C0834"/>
    <w:rsid w:val="00CE32B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5FB6"/>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FC5"/>
    <w:pPr>
      <w:spacing w:after="0"/>
      <w:ind w:left="720"/>
      <w:contextualSpacing/>
    </w:pPr>
    <w:rPr>
      <w:rFonts w:ascii="Times New Roman" w:eastAsia="Times New Roman" w:hAnsi="Times New Roman" w:cs="Times New Roman"/>
    </w:rPr>
  </w:style>
  <w:style w:type="paragraph" w:styleId="NoSpacing">
    <w:name w:val="No Spacing"/>
    <w:uiPriority w:val="1"/>
    <w:qFormat/>
    <w:rsid w:val="001C5FC5"/>
    <w:pPr>
      <w:spacing w:after="0" w:line="240" w:lineRule="auto"/>
    </w:pPr>
    <w:rPr>
      <w:rFonts w:ascii="Arial" w:hAnsi="Arial" w:cs="Arial"/>
      <w:sz w:val="24"/>
      <w:szCs w:val="24"/>
    </w:rPr>
  </w:style>
  <w:style w:type="paragraph" w:styleId="BodyText">
    <w:name w:val="Body Text"/>
    <w:basedOn w:val="Normal"/>
    <w:link w:val="BodyTextChar"/>
    <w:rsid w:val="001973CB"/>
    <w:pPr>
      <w:tabs>
        <w:tab w:val="left" w:pos="-72"/>
        <w:tab w:val="left" w:pos="118"/>
        <w:tab w:val="left" w:pos="343"/>
        <w:tab w:val="left" w:pos="535"/>
        <w:tab w:val="left" w:pos="10800"/>
      </w:tabs>
      <w:spacing w:after="0"/>
      <w:ind w:right="432"/>
    </w:pPr>
    <w:rPr>
      <w:rFonts w:ascii="Times New Roman" w:eastAsia="Times New Roman" w:hAnsi="Times New Roman" w:cs="Times New Roman"/>
    </w:rPr>
  </w:style>
  <w:style w:type="character" w:customStyle="1" w:styleId="BodyTextChar">
    <w:name w:val="Body Text Char"/>
    <w:basedOn w:val="DefaultParagraphFont"/>
    <w:link w:val="BodyText"/>
    <w:rsid w:val="001973CB"/>
    <w:rPr>
      <w:rFonts w:ascii="Times New Roman" w:eastAsia="Times New Roman" w:hAnsi="Times New Roman" w:cs="Times New Roman"/>
      <w:sz w:val="24"/>
      <w:szCs w:val="24"/>
    </w:rPr>
  </w:style>
  <w:style w:type="character" w:customStyle="1" w:styleId="bld1">
    <w:name w:val="bld1"/>
    <w:rsid w:val="001973CB"/>
    <w:rPr>
      <w:b/>
      <w:bCs/>
    </w:rPr>
  </w:style>
  <w:style w:type="paragraph" w:styleId="BodyText2">
    <w:name w:val="Body Text 2"/>
    <w:basedOn w:val="Normal"/>
    <w:link w:val="BodyText2Char"/>
    <w:rsid w:val="001973CB"/>
    <w:pPr>
      <w:tabs>
        <w:tab w:val="left" w:pos="-72"/>
        <w:tab w:val="left" w:pos="118"/>
        <w:tab w:val="left" w:pos="343"/>
        <w:tab w:val="left" w:pos="540"/>
        <w:tab w:val="left" w:pos="9360"/>
        <w:tab w:val="left" w:pos="10710"/>
      </w:tabs>
      <w:spacing w:after="0"/>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1973CB"/>
    <w:rPr>
      <w:rFonts w:ascii="Times New Roman" w:eastAsia="Times New Roman" w:hAnsi="Times New Roman" w:cs="Times New Roman"/>
      <w:sz w:val="24"/>
      <w:szCs w:val="24"/>
    </w:rPr>
  </w:style>
  <w:style w:type="paragraph" w:styleId="BodyTextIndent">
    <w:name w:val="Body Text Indent"/>
    <w:basedOn w:val="Normal"/>
    <w:link w:val="BodyTextIndentChar"/>
    <w:rsid w:val="001973CB"/>
    <w:pPr>
      <w:spacing w:after="0"/>
      <w:ind w:left="720"/>
      <w:jc w:val="both"/>
    </w:pPr>
    <w:rPr>
      <w:rFonts w:ascii="Times New Roman" w:eastAsia="Times New Roman" w:hAnsi="Times New Roman" w:cs="Times New Roman"/>
      <w:bCs/>
    </w:rPr>
  </w:style>
  <w:style w:type="character" w:customStyle="1" w:styleId="BodyTextIndentChar">
    <w:name w:val="Body Text Indent Char"/>
    <w:basedOn w:val="DefaultParagraphFont"/>
    <w:link w:val="BodyTextIndent"/>
    <w:rsid w:val="001973CB"/>
    <w:rPr>
      <w:rFonts w:ascii="Times New Roman" w:eastAsia="Times New Roman" w:hAnsi="Times New Roman" w:cs="Times New Roman"/>
      <w:bCs/>
      <w:sz w:val="24"/>
      <w:szCs w:val="24"/>
    </w:rPr>
  </w:style>
  <w:style w:type="paragraph" w:styleId="BodyTextIndent3">
    <w:name w:val="Body Text Indent 3"/>
    <w:basedOn w:val="Normal"/>
    <w:link w:val="BodyTextIndent3Char"/>
    <w:rsid w:val="001973CB"/>
    <w:pPr>
      <w:tabs>
        <w:tab w:val="left" w:pos="360"/>
      </w:tabs>
      <w:spacing w:after="0"/>
      <w:ind w:left="360" w:hanging="360"/>
      <w:jc w:val="both"/>
    </w:pPr>
    <w:rPr>
      <w:rFonts w:ascii="Times New Roman" w:eastAsia="Times New Roman" w:hAnsi="Times New Roman" w:cs="Times New Roman"/>
      <w:b/>
    </w:rPr>
  </w:style>
  <w:style w:type="character" w:customStyle="1" w:styleId="BodyTextIndent3Char">
    <w:name w:val="Body Text Indent 3 Char"/>
    <w:basedOn w:val="DefaultParagraphFont"/>
    <w:link w:val="BodyTextIndent3"/>
    <w:rsid w:val="001973CB"/>
    <w:rPr>
      <w:rFonts w:ascii="Times New Roman" w:eastAsia="Times New Roman" w:hAnsi="Times New Roman" w:cs="Times New Roman"/>
      <w:b/>
      <w:sz w:val="24"/>
      <w:szCs w:val="24"/>
    </w:rPr>
  </w:style>
  <w:style w:type="paragraph" w:styleId="Title">
    <w:name w:val="Title"/>
    <w:basedOn w:val="Normal"/>
    <w:next w:val="Normal"/>
    <w:link w:val="TitleChar"/>
    <w:uiPriority w:val="10"/>
    <w:qFormat/>
    <w:rsid w:val="001973CB"/>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1973CB"/>
    <w:rPr>
      <w:rFonts w:ascii="Cambria" w:eastAsia="Times New Roman" w:hAnsi="Cambria" w:cs="Times New Roman"/>
      <w:b/>
      <w:bCs/>
      <w:kern w:val="28"/>
      <w:sz w:val="32"/>
      <w:szCs w:val="32"/>
      <w:lang w:val="x-none" w:eastAsia="x-none"/>
    </w:rPr>
  </w:style>
  <w:style w:type="paragraph" w:styleId="Subtitle">
    <w:name w:val="Subtitle"/>
    <w:basedOn w:val="Normal"/>
    <w:next w:val="Normal"/>
    <w:link w:val="SubtitleChar"/>
    <w:uiPriority w:val="11"/>
    <w:qFormat/>
    <w:rsid w:val="001973CB"/>
    <w:pPr>
      <w:spacing w:after="60"/>
      <w:jc w:val="center"/>
      <w:outlineLvl w:val="1"/>
    </w:pPr>
    <w:rPr>
      <w:rFonts w:ascii="Cambria" w:eastAsia="Times New Roman" w:hAnsi="Cambria" w:cs="Times New Roman"/>
      <w:lang w:val="x-none" w:eastAsia="x-none"/>
    </w:rPr>
  </w:style>
  <w:style w:type="character" w:customStyle="1" w:styleId="SubtitleChar">
    <w:name w:val="Subtitle Char"/>
    <w:basedOn w:val="DefaultParagraphFont"/>
    <w:link w:val="Subtitle"/>
    <w:uiPriority w:val="11"/>
    <w:rsid w:val="001973CB"/>
    <w:rPr>
      <w:rFonts w:ascii="Cambria" w:eastAsia="Times New Roman" w:hAnsi="Cambria"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3</cp:revision>
  <dcterms:created xsi:type="dcterms:W3CDTF">2022-10-14T18:28:00Z</dcterms:created>
  <dcterms:modified xsi:type="dcterms:W3CDTF">2022-10-17T13:29:00Z</dcterms:modified>
</cp:coreProperties>
</file>