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E6" w:rsidRDefault="007D53E6" w:rsidP="007D53E6">
      <w:pPr>
        <w:jc w:val="center"/>
        <w:rPr>
          <w:rFonts w:ascii="Arial" w:hAnsi="Arial" w:cs="Arial"/>
          <w:b/>
          <w:bCs/>
          <w:sz w:val="24"/>
          <w:szCs w:val="24"/>
        </w:rPr>
      </w:pPr>
      <w:r>
        <w:rPr>
          <w:rFonts w:ascii="Arial" w:hAnsi="Arial" w:cs="Arial"/>
          <w:b/>
          <w:bCs/>
          <w:sz w:val="24"/>
          <w:szCs w:val="24"/>
        </w:rPr>
        <w:t xml:space="preserve">BOROUGH OF EDGEWATER </w:t>
      </w:r>
    </w:p>
    <w:p w:rsidR="007D53E6" w:rsidRPr="00DE51FD" w:rsidRDefault="007D53E6" w:rsidP="007D53E6">
      <w:pPr>
        <w:jc w:val="center"/>
        <w:rPr>
          <w:rFonts w:ascii="Arial" w:hAnsi="Arial" w:cs="Arial"/>
          <w:b/>
          <w:bCs/>
          <w:sz w:val="24"/>
          <w:szCs w:val="24"/>
        </w:rPr>
      </w:pPr>
      <w:r>
        <w:rPr>
          <w:rFonts w:ascii="Arial" w:hAnsi="Arial" w:cs="Arial"/>
          <w:b/>
          <w:bCs/>
          <w:sz w:val="24"/>
          <w:szCs w:val="24"/>
        </w:rPr>
        <w:t>ORDINANCE 2020-015</w:t>
      </w:r>
    </w:p>
    <w:p w:rsidR="007D53E6" w:rsidRDefault="007D53E6" w:rsidP="007D53E6">
      <w:pPr>
        <w:jc w:val="center"/>
        <w:rPr>
          <w:rFonts w:ascii="Arial" w:hAnsi="Arial" w:cs="Arial"/>
          <w:b/>
          <w:bCs/>
          <w:sz w:val="24"/>
          <w:szCs w:val="24"/>
        </w:rPr>
      </w:pPr>
      <w:r w:rsidRPr="00DE51FD">
        <w:rPr>
          <w:rFonts w:ascii="Arial" w:hAnsi="Arial" w:cs="Arial"/>
          <w:b/>
          <w:bCs/>
          <w:sz w:val="24"/>
          <w:szCs w:val="24"/>
        </w:rPr>
        <w:t>ORDINANCE OF THE BOR</w:t>
      </w:r>
      <w:r>
        <w:rPr>
          <w:rFonts w:ascii="Arial" w:hAnsi="Arial" w:cs="Arial"/>
          <w:b/>
          <w:bCs/>
          <w:sz w:val="24"/>
          <w:szCs w:val="24"/>
        </w:rPr>
        <w:t>OU</w:t>
      </w:r>
      <w:r w:rsidRPr="00DE51FD">
        <w:rPr>
          <w:rFonts w:ascii="Arial" w:hAnsi="Arial" w:cs="Arial"/>
          <w:b/>
          <w:bCs/>
          <w:sz w:val="24"/>
          <w:szCs w:val="24"/>
        </w:rPr>
        <w:t>GH</w:t>
      </w:r>
      <w:r>
        <w:rPr>
          <w:rFonts w:ascii="Arial" w:hAnsi="Arial" w:cs="Arial"/>
          <w:b/>
          <w:bCs/>
          <w:sz w:val="24"/>
          <w:szCs w:val="24"/>
        </w:rPr>
        <w:t xml:space="preserve"> </w:t>
      </w:r>
      <w:r w:rsidRPr="00DE51FD">
        <w:rPr>
          <w:rFonts w:ascii="Arial" w:hAnsi="Arial" w:cs="Arial"/>
          <w:b/>
          <w:bCs/>
          <w:sz w:val="24"/>
          <w:szCs w:val="24"/>
        </w:rPr>
        <w:t>OF EDGEWATER AUTHORIZING LONG TERM TAX EXEMPTION AGREEMENT BETWEEN THE BORO</w:t>
      </w:r>
      <w:r>
        <w:rPr>
          <w:rFonts w:ascii="Arial" w:hAnsi="Arial" w:cs="Arial"/>
          <w:b/>
          <w:bCs/>
          <w:sz w:val="24"/>
          <w:szCs w:val="24"/>
        </w:rPr>
        <w:t xml:space="preserve">UGH </w:t>
      </w:r>
      <w:r w:rsidRPr="00DE51FD">
        <w:rPr>
          <w:rFonts w:ascii="Arial" w:hAnsi="Arial" w:cs="Arial"/>
          <w:b/>
          <w:bCs/>
          <w:sz w:val="24"/>
          <w:szCs w:val="24"/>
        </w:rPr>
        <w:t xml:space="preserve">OF EDGEWATER AND </w:t>
      </w:r>
      <w:r>
        <w:rPr>
          <w:rFonts w:ascii="Arial" w:hAnsi="Arial" w:cs="Arial"/>
          <w:b/>
          <w:bCs/>
          <w:sz w:val="24"/>
          <w:szCs w:val="24"/>
        </w:rPr>
        <w:t>615 RIVER ROAD PARTNERS URBAN RENEWAL</w:t>
      </w:r>
      <w:r w:rsidRPr="00DE51FD">
        <w:rPr>
          <w:rFonts w:ascii="Arial" w:hAnsi="Arial" w:cs="Arial"/>
          <w:b/>
          <w:bCs/>
          <w:sz w:val="24"/>
          <w:szCs w:val="24"/>
        </w:rPr>
        <w:t xml:space="preserve">, LLC </w:t>
      </w:r>
      <w:r w:rsidRPr="00DE51FD">
        <w:rPr>
          <w:rFonts w:ascii="Arial" w:hAnsi="Arial" w:cs="Arial"/>
          <w:b/>
          <w:bCs/>
          <w:sz w:val="24"/>
          <w:szCs w:val="24"/>
        </w:rPr>
        <w:tab/>
      </w:r>
    </w:p>
    <w:p w:rsidR="007D53E6" w:rsidRPr="00DE51FD" w:rsidRDefault="007D53E6" w:rsidP="007D53E6">
      <w:pPr>
        <w:jc w:val="center"/>
        <w:rPr>
          <w:rFonts w:ascii="Arial" w:hAnsi="Arial" w:cs="Arial"/>
          <w:b/>
          <w:bCs/>
          <w:sz w:val="24"/>
          <w:szCs w:val="24"/>
        </w:rPr>
      </w:pP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in compliance with the New Jersey Supreme Court’s March 10, 2015 decision in </w:t>
      </w:r>
      <w:r w:rsidRPr="00DD27A9">
        <w:rPr>
          <w:rFonts w:ascii="Arial" w:hAnsi="Arial" w:cs="Arial"/>
          <w:sz w:val="24"/>
          <w:szCs w:val="24"/>
          <w:u w:val="single"/>
        </w:rPr>
        <w:t>In re Adoption of N.J.A.C. 5:96 and 5:97 by N.J. Council on Affordable Housing</w:t>
      </w:r>
      <w:r>
        <w:rPr>
          <w:rFonts w:ascii="Arial" w:hAnsi="Arial" w:cs="Arial"/>
          <w:sz w:val="24"/>
          <w:szCs w:val="24"/>
        </w:rPr>
        <w:t>, 221 N.J. 1 (2015) (</w:t>
      </w:r>
      <w:r w:rsidRPr="00DD27A9">
        <w:rPr>
          <w:rFonts w:ascii="Arial" w:hAnsi="Arial" w:cs="Arial"/>
          <w:sz w:val="24"/>
          <w:szCs w:val="24"/>
        </w:rPr>
        <w:t>“</w:t>
      </w:r>
      <w:r w:rsidRPr="00DD27A9">
        <w:rPr>
          <w:rFonts w:ascii="Arial" w:hAnsi="Arial" w:cs="Arial"/>
          <w:sz w:val="24"/>
          <w:szCs w:val="24"/>
          <w:u w:val="single"/>
        </w:rPr>
        <w:t>Mount Laurel</w:t>
      </w:r>
      <w:r>
        <w:rPr>
          <w:rFonts w:ascii="Arial" w:hAnsi="Arial" w:cs="Arial"/>
          <w:sz w:val="24"/>
          <w:szCs w:val="24"/>
          <w:u w:val="single"/>
        </w:rPr>
        <w:t xml:space="preserve"> </w:t>
      </w:r>
      <w:r w:rsidRPr="00DD27A9">
        <w:rPr>
          <w:rFonts w:ascii="Arial" w:hAnsi="Arial" w:cs="Arial"/>
          <w:sz w:val="24"/>
          <w:szCs w:val="24"/>
          <w:u w:val="single"/>
        </w:rPr>
        <w:t>IV</w:t>
      </w:r>
      <w:r>
        <w:rPr>
          <w:rFonts w:ascii="Arial" w:hAnsi="Arial" w:cs="Arial"/>
          <w:sz w:val="24"/>
          <w:szCs w:val="24"/>
        </w:rPr>
        <w:t xml:space="preserve">”) on or about July 7, 2015, the Borough of Edgewater filed an action with the Superior Court of New Jersey (“Court”) in Bergen County entitled </w:t>
      </w:r>
      <w:r w:rsidRPr="00DD27A9">
        <w:rPr>
          <w:rFonts w:ascii="Arial" w:hAnsi="Arial" w:cs="Arial"/>
          <w:sz w:val="24"/>
          <w:szCs w:val="24"/>
          <w:u w:val="single"/>
        </w:rPr>
        <w:t>In the Matter of the Application of the Borough of Edgewater, a Municipal Corporation of the State of New Jersey</w:t>
      </w:r>
      <w:r>
        <w:rPr>
          <w:rFonts w:ascii="Arial" w:hAnsi="Arial" w:cs="Arial"/>
          <w:sz w:val="24"/>
          <w:szCs w:val="24"/>
        </w:rPr>
        <w:t xml:space="preserve">, Docket No. L 6364-15 seeking a Judgment of Compliance and Repose approving its Housing Element and Fair Share Plan (“Affordable Housing Plan”), in addition to related relief, including temporary immunity from all </w:t>
      </w:r>
      <w:r w:rsidRPr="00DD27A9">
        <w:rPr>
          <w:rFonts w:ascii="Arial" w:hAnsi="Arial" w:cs="Arial"/>
          <w:sz w:val="24"/>
          <w:szCs w:val="24"/>
          <w:u w:val="single"/>
        </w:rPr>
        <w:t>Mount Laure</w:t>
      </w:r>
      <w:r>
        <w:rPr>
          <w:rFonts w:ascii="Arial" w:hAnsi="Arial" w:cs="Arial"/>
          <w:sz w:val="24"/>
          <w:szCs w:val="24"/>
          <w:u w:val="single"/>
        </w:rPr>
        <w:t>l</w:t>
      </w:r>
      <w:r w:rsidRPr="00DD27A9">
        <w:rPr>
          <w:rFonts w:ascii="Arial" w:hAnsi="Arial" w:cs="Arial"/>
          <w:sz w:val="24"/>
          <w:szCs w:val="24"/>
          <w:u w:val="single"/>
        </w:rPr>
        <w:t xml:space="preserve"> </w:t>
      </w:r>
      <w:r>
        <w:rPr>
          <w:rFonts w:ascii="Arial" w:hAnsi="Arial" w:cs="Arial"/>
          <w:sz w:val="24"/>
          <w:szCs w:val="24"/>
        </w:rPr>
        <w:t>lawsuits; and</w:t>
      </w: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Court granted the Borough’s motion for temporary immunity from all </w:t>
      </w:r>
      <w:r w:rsidRPr="00C848A6">
        <w:rPr>
          <w:rFonts w:ascii="Arial" w:hAnsi="Arial" w:cs="Arial"/>
          <w:sz w:val="24"/>
          <w:szCs w:val="24"/>
          <w:u w:val="single"/>
        </w:rPr>
        <w:t>Mount Laurel</w:t>
      </w:r>
      <w:r>
        <w:rPr>
          <w:rFonts w:ascii="Arial" w:hAnsi="Arial" w:cs="Arial"/>
          <w:sz w:val="24"/>
          <w:szCs w:val="24"/>
        </w:rPr>
        <w:t xml:space="preserve"> lawsuits, which was subsequently extended via a series of orders, and is still in full force and effect today; and</w:t>
      </w: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615 River Road Partners Urban Renewal, LLC (the “Entity”) proposes to construct 1200 total units of which 180-240 would be Affordable Housing Units within the Borough of Edgewater, which will aid the Borough in complying with its affordable housing obligation, on a site described as Block 76, Lots 1 &amp; 5, as shown on the official assessment map of the Borough of Edgewater and commonly known as 615 River Road, Edgewater, New Jersey (the “Property”); and </w:t>
      </w: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New Jersey Long Term Tax Exemption Law, </w:t>
      </w:r>
      <w:r w:rsidRPr="0065622B">
        <w:rPr>
          <w:rFonts w:ascii="Arial" w:hAnsi="Arial" w:cs="Arial"/>
          <w:sz w:val="24"/>
          <w:szCs w:val="24"/>
          <w:u w:val="single"/>
        </w:rPr>
        <w:t>N.J.S.A.</w:t>
      </w:r>
      <w:r>
        <w:rPr>
          <w:rFonts w:ascii="Arial" w:hAnsi="Arial" w:cs="Arial"/>
          <w:sz w:val="24"/>
          <w:szCs w:val="24"/>
        </w:rPr>
        <w:t xml:space="preserve"> 40A:20-1 et seq. authorizes a municipality to enter into a Financial Agreement with an urban renewal entity undertaking development and construction of a low or moderate income housing project, granting a long term tax exemption to the project; and </w:t>
      </w: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the Entity is qualified to do business under the provisions of the New Jersey Long Term Tax Exemption Law and has made application to the Borough of Edgewater for (</w:t>
      </w:r>
      <w:proofErr w:type="spellStart"/>
      <w:r>
        <w:rPr>
          <w:rFonts w:ascii="Arial" w:hAnsi="Arial" w:cs="Arial"/>
          <w:sz w:val="24"/>
          <w:szCs w:val="24"/>
        </w:rPr>
        <w:t>i</w:t>
      </w:r>
      <w:proofErr w:type="spellEnd"/>
      <w:r>
        <w:rPr>
          <w:rFonts w:ascii="Arial" w:hAnsi="Arial" w:cs="Arial"/>
          <w:sz w:val="24"/>
          <w:szCs w:val="24"/>
        </w:rPr>
        <w:t xml:space="preserve">) the approval of the Project; (ii) the grant of a long term tax exemption for the Project; and (iii) the execution of a Financial Agreement; and </w:t>
      </w:r>
    </w:p>
    <w:p w:rsidR="007D53E6" w:rsidRDefault="007D53E6" w:rsidP="007D53E6">
      <w:pPr>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Entity has presented to the Borough Council a Financial Agreement, which is attached hereto as Exhibit A, and which has attached as an exhibit a revenue projection for the Project which sets forth the anticipated revenue to be received by the Entity from the operation of the Project. </w:t>
      </w:r>
    </w:p>
    <w:p w:rsidR="007D53E6" w:rsidRDefault="007D53E6" w:rsidP="007D53E6">
      <w:pPr>
        <w:jc w:val="both"/>
        <w:rPr>
          <w:rFonts w:ascii="Arial" w:hAnsi="Arial" w:cs="Arial"/>
          <w:sz w:val="24"/>
          <w:szCs w:val="24"/>
        </w:rPr>
      </w:pPr>
      <w:r w:rsidRPr="00DE51FD">
        <w:rPr>
          <w:rFonts w:ascii="Arial" w:hAnsi="Arial" w:cs="Arial"/>
          <w:b/>
          <w:bCs/>
          <w:sz w:val="24"/>
          <w:szCs w:val="24"/>
        </w:rPr>
        <w:t>NOW THEREFORE BE IT ORDAINED</w:t>
      </w:r>
      <w:r>
        <w:rPr>
          <w:rFonts w:ascii="Arial" w:hAnsi="Arial" w:cs="Arial"/>
          <w:sz w:val="24"/>
          <w:szCs w:val="24"/>
        </w:rPr>
        <w:t xml:space="preserve"> by the Mayor and Council of the Borough of Edgewater, County of Bergen and State of New Jersey as follows:</w:t>
      </w:r>
    </w:p>
    <w:p w:rsidR="007D53E6" w:rsidRDefault="007D53E6" w:rsidP="007D53E6">
      <w:pPr>
        <w:ind w:firstLine="720"/>
        <w:jc w:val="both"/>
        <w:rPr>
          <w:rFonts w:ascii="Arial" w:hAnsi="Arial" w:cs="Arial"/>
          <w:sz w:val="24"/>
          <w:szCs w:val="24"/>
        </w:rPr>
      </w:pPr>
    </w:p>
    <w:p w:rsidR="007D53E6" w:rsidRPr="00370080" w:rsidRDefault="007D53E6" w:rsidP="007D53E6">
      <w:pPr>
        <w:jc w:val="center"/>
        <w:rPr>
          <w:rFonts w:ascii="Arial" w:hAnsi="Arial" w:cs="Arial"/>
          <w:b/>
          <w:bCs/>
          <w:sz w:val="24"/>
          <w:szCs w:val="24"/>
          <w:u w:val="single"/>
        </w:rPr>
      </w:pPr>
      <w:r w:rsidRPr="00370080">
        <w:rPr>
          <w:rFonts w:ascii="Arial" w:hAnsi="Arial" w:cs="Arial"/>
          <w:b/>
          <w:bCs/>
          <w:sz w:val="24"/>
          <w:szCs w:val="24"/>
          <w:u w:val="single"/>
        </w:rPr>
        <w:t>SECTION I</w:t>
      </w:r>
    </w:p>
    <w:p w:rsidR="007D53E6" w:rsidRDefault="007D53E6" w:rsidP="007D53E6">
      <w:pPr>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Borough Council authorizes the execution of the Agreement substantially in the form attached hereto as Exhibit A and made a part hereof authorizing an in lieu tax payment in accordance with the Agreement in amounts ranging from ten to thirteen (10-13%) percent of the Annual Gross Revenue of the Project. </w:t>
      </w:r>
    </w:p>
    <w:p w:rsidR="007D53E6" w:rsidRDefault="007D53E6" w:rsidP="007D53E6">
      <w:pPr>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The exemption from taxation on improvements to be constructed by the Entity be and is hereby approved for a period of thirty (30) years from the date of substantial completion of the Project, but only so long as the Entity is subject to and in compliance with the terms of the Financial Agreement and the Long Term Tax Exemption Law. </w:t>
      </w:r>
    </w:p>
    <w:p w:rsidR="007D53E6" w:rsidRDefault="007D53E6" w:rsidP="007D53E6">
      <w:pPr>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The Borough Council hereby authorizes and directs the Mayor to execute, on behalf of the Borough, the Agreement attached hereto as Exhibit A. </w:t>
      </w:r>
    </w:p>
    <w:p w:rsidR="007D53E6" w:rsidRDefault="007D53E6" w:rsidP="007D53E6">
      <w:pPr>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The Borough Council understands and agrees that the revenue projections set forth in exhibit to the Financial Agreement are estimates and that the actual payments in lieu of taxes to be paid by the Entity to the Borough shall be determined pursuant to the Agreement. </w:t>
      </w:r>
    </w:p>
    <w:p w:rsidR="007D53E6" w:rsidRDefault="007D53E6" w:rsidP="007D53E6">
      <w:pPr>
        <w:rPr>
          <w:rFonts w:ascii="Arial" w:hAnsi="Arial" w:cs="Arial"/>
          <w:sz w:val="24"/>
          <w:szCs w:val="24"/>
        </w:rPr>
      </w:pPr>
      <w:r>
        <w:rPr>
          <w:rFonts w:ascii="Arial" w:hAnsi="Arial" w:cs="Arial"/>
          <w:sz w:val="24"/>
          <w:szCs w:val="24"/>
        </w:rPr>
        <w:t>5.</w:t>
      </w:r>
      <w:r>
        <w:rPr>
          <w:rFonts w:ascii="Arial" w:hAnsi="Arial" w:cs="Arial"/>
          <w:sz w:val="24"/>
          <w:szCs w:val="24"/>
        </w:rPr>
        <w:tab/>
        <w:t>The Borough Council understands that the Entity may form a limited partnership or a limited liability company in which the Entity will be the general partner or managing member, respectively, and that the Borough may enter into the payment in lieu of taxes Agreement with such limited partnership or limited liability company.</w:t>
      </w:r>
    </w:p>
    <w:p w:rsidR="007D53E6" w:rsidRDefault="007D53E6" w:rsidP="007D53E6">
      <w:pPr>
        <w:rPr>
          <w:rFonts w:ascii="Arial" w:hAnsi="Arial" w:cs="Arial"/>
          <w:sz w:val="24"/>
          <w:szCs w:val="24"/>
        </w:rPr>
      </w:pPr>
      <w:r>
        <w:rPr>
          <w:rFonts w:ascii="Arial" w:hAnsi="Arial" w:cs="Arial"/>
          <w:sz w:val="24"/>
          <w:szCs w:val="24"/>
        </w:rPr>
        <w:t>6.</w:t>
      </w:r>
      <w:r>
        <w:rPr>
          <w:rFonts w:ascii="Arial" w:hAnsi="Arial" w:cs="Arial"/>
          <w:sz w:val="24"/>
          <w:szCs w:val="24"/>
        </w:rPr>
        <w:tab/>
        <w:t xml:space="preserve">An executed copy of the Financial Agreement authorized by this Ordinance shall be kept on file in the office of the Borough Clerk for purposes of review and record. </w:t>
      </w:r>
    </w:p>
    <w:p w:rsidR="007D53E6" w:rsidRDefault="007D53E6" w:rsidP="007D53E6">
      <w:pPr>
        <w:rPr>
          <w:rFonts w:ascii="Arial" w:hAnsi="Arial" w:cs="Arial"/>
          <w:sz w:val="24"/>
          <w:szCs w:val="24"/>
        </w:rPr>
      </w:pPr>
      <w:r>
        <w:rPr>
          <w:rFonts w:ascii="Arial" w:hAnsi="Arial" w:cs="Arial"/>
          <w:sz w:val="24"/>
          <w:szCs w:val="24"/>
        </w:rPr>
        <w:t>7.</w:t>
      </w:r>
      <w:r>
        <w:rPr>
          <w:rFonts w:ascii="Arial" w:hAnsi="Arial" w:cs="Arial"/>
          <w:sz w:val="24"/>
          <w:szCs w:val="24"/>
        </w:rPr>
        <w:tab/>
        <w:t xml:space="preserve">The Project, when completed, shall conform with all State laws and ordinances of the Borough of Edgewater relating in its construction and use. </w:t>
      </w:r>
    </w:p>
    <w:p w:rsidR="007D53E6" w:rsidRDefault="007D53E6" w:rsidP="007D53E6">
      <w:pPr>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The Entity shall submit a total Project cost audit by certified public accountants within ninety (90) days following substantial completion of the project. </w:t>
      </w:r>
    </w:p>
    <w:p w:rsidR="007D53E6" w:rsidRDefault="007D53E6" w:rsidP="007D53E6">
      <w:pPr>
        <w:jc w:val="both"/>
        <w:rPr>
          <w:rFonts w:ascii="Arial" w:hAnsi="Arial" w:cs="Arial"/>
          <w:sz w:val="24"/>
          <w:szCs w:val="24"/>
        </w:rPr>
      </w:pPr>
      <w:r>
        <w:rPr>
          <w:rFonts w:ascii="Arial" w:hAnsi="Arial" w:cs="Arial"/>
          <w:sz w:val="24"/>
          <w:szCs w:val="24"/>
        </w:rPr>
        <w:t>9.</w:t>
      </w:r>
      <w:r>
        <w:rPr>
          <w:rFonts w:ascii="Arial" w:hAnsi="Arial" w:cs="Arial"/>
          <w:sz w:val="24"/>
          <w:szCs w:val="24"/>
        </w:rPr>
        <w:tab/>
        <w:t xml:space="preserve">Following submission of an annual auditor’s report within (90) days of the end of each fiscal or calendar year, the Borough and the Entity shall adjust any overpayment or underpayment determined for the audited period. </w:t>
      </w:r>
    </w:p>
    <w:p w:rsidR="007D53E6" w:rsidRDefault="007D53E6" w:rsidP="007D53E6">
      <w:pPr>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The Municipal Clerk is hereby authorized to forward a certified true copy of the Ordinance to 615 River Road Partners Urban Renewal, LLC at 615 River Road Partners Urban Renewal, LLC.  The Municipal Clerk is hereby authorized to forward a certified true copy of this Ordinance, and the Financial Agreement implementing it, to both the Municipal Tax Assessor and the Direction of the Division of Local Government Services. </w:t>
      </w:r>
    </w:p>
    <w:p w:rsidR="007D53E6" w:rsidRDefault="007D53E6" w:rsidP="007D53E6">
      <w:pPr>
        <w:spacing w:line="240" w:lineRule="auto"/>
        <w:rPr>
          <w:rFonts w:ascii="Arial" w:hAnsi="Arial" w:cs="Arial"/>
          <w:b/>
          <w:bCs/>
        </w:rPr>
      </w:pPr>
      <w:r w:rsidRPr="00370080">
        <w:rPr>
          <w:rFonts w:ascii="Arial" w:hAnsi="Arial" w:cs="Arial"/>
          <w:b/>
          <w:bCs/>
          <w:u w:val="single"/>
        </w:rPr>
        <w:t>SECTION</w:t>
      </w:r>
      <w:r w:rsidRPr="00DE37C4">
        <w:rPr>
          <w:rFonts w:ascii="Arial" w:hAnsi="Arial" w:cs="Arial"/>
          <w:b/>
          <w:bCs/>
          <w:u w:val="single"/>
        </w:rPr>
        <w:t xml:space="preserve"> </w:t>
      </w:r>
      <w:r w:rsidRPr="00DE37C4">
        <w:rPr>
          <w:rFonts w:ascii="Arial" w:hAnsi="Arial" w:cs="Arial"/>
          <w:b/>
          <w:bCs/>
        </w:rPr>
        <w:t xml:space="preserve">II </w:t>
      </w:r>
      <w:r w:rsidRPr="00DE37C4">
        <w:rPr>
          <w:rFonts w:ascii="Arial" w:hAnsi="Arial" w:cs="Arial"/>
          <w:b/>
          <w:bCs/>
        </w:rPr>
        <w:tab/>
        <w:t>Severability</w:t>
      </w:r>
      <w:r>
        <w:rPr>
          <w:rFonts w:ascii="Arial" w:hAnsi="Arial" w:cs="Arial"/>
          <w:b/>
          <w:bCs/>
        </w:rPr>
        <w:t>.</w:t>
      </w:r>
    </w:p>
    <w:p w:rsidR="007D53E6" w:rsidRPr="00410CDE" w:rsidRDefault="007D53E6" w:rsidP="007D53E6">
      <w:pPr>
        <w:spacing w:line="240" w:lineRule="auto"/>
        <w:jc w:val="both"/>
        <w:rPr>
          <w:rFonts w:ascii="Arial" w:hAnsi="Arial" w:cs="Arial"/>
          <w:sz w:val="24"/>
          <w:szCs w:val="24"/>
        </w:rPr>
      </w:pPr>
      <w:r w:rsidRPr="00410CDE">
        <w:rPr>
          <w:rFonts w:ascii="Arial" w:hAnsi="Arial" w:cs="Arial"/>
          <w:sz w:val="24"/>
          <w:szCs w:val="24"/>
        </w:rPr>
        <w:lastRenderedPageBreak/>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7D53E6" w:rsidRPr="00410CDE" w:rsidRDefault="007D53E6" w:rsidP="007D53E6">
      <w:pPr>
        <w:spacing w:line="240" w:lineRule="auto"/>
        <w:rPr>
          <w:rFonts w:ascii="Arial" w:hAnsi="Arial" w:cs="Arial"/>
          <w:sz w:val="24"/>
          <w:szCs w:val="24"/>
        </w:rPr>
      </w:pPr>
    </w:p>
    <w:p w:rsidR="007D53E6" w:rsidRPr="00410CDE" w:rsidRDefault="007D53E6" w:rsidP="007D53E6">
      <w:pPr>
        <w:rPr>
          <w:rFonts w:ascii="Arial" w:hAnsi="Arial" w:cs="Arial"/>
          <w:b/>
          <w:bCs/>
          <w:sz w:val="24"/>
          <w:szCs w:val="24"/>
        </w:rPr>
      </w:pPr>
      <w:r w:rsidRPr="00410CDE">
        <w:rPr>
          <w:rFonts w:ascii="Arial" w:hAnsi="Arial" w:cs="Arial"/>
          <w:b/>
          <w:bCs/>
          <w:sz w:val="24"/>
          <w:szCs w:val="24"/>
          <w:u w:val="single"/>
        </w:rPr>
        <w:t>SECTION III</w:t>
      </w:r>
      <w:r w:rsidRPr="00410CDE">
        <w:rPr>
          <w:rFonts w:ascii="Arial" w:hAnsi="Arial" w:cs="Arial"/>
          <w:b/>
          <w:bCs/>
          <w:sz w:val="24"/>
          <w:szCs w:val="24"/>
        </w:rPr>
        <w:t xml:space="preserve"> </w:t>
      </w:r>
      <w:r w:rsidRPr="00410CDE">
        <w:rPr>
          <w:rFonts w:ascii="Arial" w:hAnsi="Arial" w:cs="Arial"/>
          <w:b/>
          <w:bCs/>
          <w:sz w:val="24"/>
          <w:szCs w:val="24"/>
        </w:rPr>
        <w:tab/>
        <w:t>Effective Date.</w:t>
      </w:r>
    </w:p>
    <w:p w:rsidR="007D53E6" w:rsidRPr="00410CDE" w:rsidRDefault="007D53E6" w:rsidP="007D53E6">
      <w:pPr>
        <w:jc w:val="both"/>
        <w:rPr>
          <w:rFonts w:ascii="Arial" w:hAnsi="Arial" w:cs="Arial"/>
          <w:sz w:val="24"/>
          <w:szCs w:val="24"/>
        </w:rPr>
      </w:pPr>
      <w:r w:rsidRPr="00410CDE">
        <w:rPr>
          <w:rFonts w:ascii="Arial" w:hAnsi="Arial" w:cs="Arial"/>
          <w:sz w:val="24"/>
          <w:szCs w:val="24"/>
        </w:rPr>
        <w:t>This ordinance shall take effect immediately upon final publication as required by law.</w:t>
      </w:r>
    </w:p>
    <w:p w:rsidR="007D53E6" w:rsidRPr="00410CDE" w:rsidRDefault="007D53E6" w:rsidP="007D53E6">
      <w:pPr>
        <w:jc w:val="both"/>
        <w:rPr>
          <w:rFonts w:ascii="Arial" w:hAnsi="Arial" w:cs="Arial"/>
          <w:sz w:val="24"/>
          <w:szCs w:val="24"/>
        </w:rPr>
      </w:pPr>
    </w:p>
    <w:p w:rsidR="007D53E6" w:rsidRPr="00410CDE" w:rsidRDefault="007D53E6" w:rsidP="007D53E6">
      <w:pPr>
        <w:rPr>
          <w:rFonts w:ascii="Arial" w:hAnsi="Arial" w:cs="Arial"/>
          <w:b/>
          <w:bCs/>
          <w:sz w:val="24"/>
          <w:szCs w:val="24"/>
        </w:rPr>
      </w:pPr>
      <w:r w:rsidRPr="00410CDE">
        <w:rPr>
          <w:rFonts w:ascii="Arial" w:hAnsi="Arial" w:cs="Arial"/>
          <w:b/>
          <w:bCs/>
          <w:sz w:val="24"/>
          <w:szCs w:val="24"/>
          <w:u w:val="single"/>
        </w:rPr>
        <w:t>SECTION IV</w:t>
      </w:r>
      <w:r w:rsidRPr="00410CDE">
        <w:rPr>
          <w:rFonts w:ascii="Arial" w:hAnsi="Arial" w:cs="Arial"/>
          <w:b/>
          <w:bCs/>
          <w:sz w:val="24"/>
          <w:szCs w:val="24"/>
        </w:rPr>
        <w:t xml:space="preserve"> </w:t>
      </w:r>
      <w:r w:rsidRPr="00410CDE">
        <w:rPr>
          <w:rFonts w:ascii="Arial" w:hAnsi="Arial" w:cs="Arial"/>
          <w:b/>
          <w:bCs/>
          <w:sz w:val="24"/>
          <w:szCs w:val="24"/>
        </w:rPr>
        <w:tab/>
        <w:t>Repeal of Inconsistent Ordinances.</w:t>
      </w:r>
    </w:p>
    <w:p w:rsidR="007D53E6" w:rsidRPr="00410CDE" w:rsidRDefault="007D53E6" w:rsidP="007D53E6">
      <w:pPr>
        <w:rPr>
          <w:rFonts w:ascii="Arial" w:hAnsi="Arial" w:cs="Arial"/>
          <w:sz w:val="24"/>
          <w:szCs w:val="24"/>
        </w:rPr>
      </w:pPr>
      <w:r w:rsidRPr="00410CDE">
        <w:rPr>
          <w:rFonts w:ascii="Arial" w:hAnsi="Arial" w:cs="Arial"/>
          <w:sz w:val="24"/>
          <w:szCs w:val="24"/>
        </w:rPr>
        <w:t>All ordinances and parts of ordinances that are inconsistent with the provisions of this ordinance are hereby repealed to the extent of such inconsistency.</w:t>
      </w:r>
    </w:p>
    <w:p w:rsidR="00617183" w:rsidRDefault="00617183" w:rsidP="007D53E6">
      <w:pPr>
        <w:pStyle w:val="NoSpacing"/>
      </w:pPr>
    </w:p>
    <w:p w:rsidR="007D53E6" w:rsidRDefault="007D53E6" w:rsidP="007D53E6">
      <w:pPr>
        <w:pStyle w:val="NoSpacing"/>
      </w:pP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Annamarie O’Connor, RMC</w:t>
      </w: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Borough Clerk</w:t>
      </w:r>
    </w:p>
    <w:p w:rsidR="007D53E6" w:rsidRPr="007D53E6" w:rsidRDefault="007D53E6" w:rsidP="007D53E6">
      <w:pPr>
        <w:pStyle w:val="NoSpacing"/>
        <w:rPr>
          <w:rFonts w:ascii="Arial" w:hAnsi="Arial" w:cs="Arial"/>
          <w:sz w:val="24"/>
          <w:szCs w:val="24"/>
        </w:rPr>
      </w:pPr>
    </w:p>
    <w:p w:rsidR="007D53E6" w:rsidRPr="007D53E6" w:rsidRDefault="007D53E6" w:rsidP="007D53E6">
      <w:pPr>
        <w:pStyle w:val="NoSpacing"/>
        <w:rPr>
          <w:rFonts w:ascii="Arial" w:hAnsi="Arial" w:cs="Arial"/>
          <w:sz w:val="24"/>
          <w:szCs w:val="24"/>
        </w:rPr>
      </w:pPr>
    </w:p>
    <w:p w:rsidR="007D53E6" w:rsidRPr="007D53E6" w:rsidRDefault="007D53E6" w:rsidP="007D53E6">
      <w:pPr>
        <w:pStyle w:val="NoSpacing"/>
        <w:rPr>
          <w:rFonts w:ascii="Arial" w:hAnsi="Arial" w:cs="Arial"/>
          <w:sz w:val="24"/>
          <w:szCs w:val="24"/>
        </w:rPr>
      </w:pPr>
      <w:r>
        <w:rPr>
          <w:rFonts w:ascii="Arial" w:hAnsi="Arial" w:cs="Arial"/>
          <w:sz w:val="24"/>
          <w:szCs w:val="24"/>
        </w:rPr>
        <w:t>Introduced: December 7</w:t>
      </w:r>
      <w:r w:rsidRPr="007D53E6">
        <w:rPr>
          <w:rFonts w:ascii="Arial" w:hAnsi="Arial" w:cs="Arial"/>
          <w:sz w:val="24"/>
          <w:szCs w:val="24"/>
        </w:rPr>
        <w:t>, 2020</w:t>
      </w:r>
    </w:p>
    <w:p w:rsidR="007D53E6" w:rsidRPr="007D53E6" w:rsidRDefault="007D53E6" w:rsidP="007D53E6">
      <w:pPr>
        <w:pStyle w:val="NoSpacing"/>
        <w:rPr>
          <w:rFonts w:ascii="Arial" w:hAnsi="Arial" w:cs="Arial"/>
          <w:sz w:val="24"/>
          <w:szCs w:val="24"/>
        </w:rPr>
      </w:pP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Adopted: __________</w:t>
      </w:r>
    </w:p>
    <w:p w:rsidR="007D53E6" w:rsidRPr="007D53E6" w:rsidRDefault="007D53E6" w:rsidP="007D53E6">
      <w:pPr>
        <w:pStyle w:val="NoSpacing"/>
        <w:rPr>
          <w:rFonts w:ascii="Arial" w:hAnsi="Arial" w:cs="Arial"/>
          <w:sz w:val="24"/>
          <w:szCs w:val="24"/>
        </w:rPr>
      </w:pPr>
      <w:bookmarkStart w:id="0" w:name="_GoBack"/>
      <w:bookmarkEnd w:id="0"/>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Approved:  ____________</w:t>
      </w:r>
    </w:p>
    <w:p w:rsidR="007D53E6" w:rsidRPr="007D53E6" w:rsidRDefault="007D53E6" w:rsidP="007D53E6">
      <w:pPr>
        <w:pStyle w:val="NoSpacing"/>
        <w:rPr>
          <w:rFonts w:ascii="Arial" w:hAnsi="Arial" w:cs="Arial"/>
          <w:color w:val="000000"/>
          <w:sz w:val="24"/>
          <w:szCs w:val="24"/>
        </w:rPr>
      </w:pPr>
    </w:p>
    <w:p w:rsidR="007D53E6" w:rsidRPr="007D53E6" w:rsidRDefault="007D53E6" w:rsidP="007D53E6">
      <w:pPr>
        <w:pStyle w:val="NoSpacing"/>
        <w:rPr>
          <w:rFonts w:ascii="Arial" w:hAnsi="Arial" w:cs="Arial"/>
          <w:color w:val="000000"/>
          <w:sz w:val="24"/>
          <w:szCs w:val="24"/>
        </w:rPr>
      </w:pPr>
    </w:p>
    <w:p w:rsidR="007D53E6" w:rsidRPr="007D53E6" w:rsidRDefault="007D53E6" w:rsidP="007D53E6">
      <w:pPr>
        <w:pStyle w:val="NoSpacing"/>
        <w:rPr>
          <w:rFonts w:ascii="Arial" w:hAnsi="Arial" w:cs="Arial"/>
          <w:color w:val="000000"/>
          <w:sz w:val="24"/>
          <w:szCs w:val="24"/>
        </w:rPr>
      </w:pPr>
    </w:p>
    <w:p w:rsidR="007D53E6" w:rsidRPr="007D53E6" w:rsidRDefault="007D53E6" w:rsidP="007D53E6">
      <w:pPr>
        <w:pStyle w:val="NoSpacing"/>
        <w:rPr>
          <w:rFonts w:ascii="Arial" w:hAnsi="Arial" w:cs="Arial"/>
          <w:color w:val="000000"/>
          <w:sz w:val="24"/>
          <w:szCs w:val="24"/>
        </w:rPr>
      </w:pP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The foregoing ordinance is hereby approved:</w:t>
      </w: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p>
    <w:p w:rsidR="007D53E6" w:rsidRPr="007D53E6" w:rsidRDefault="007D53E6" w:rsidP="007D53E6">
      <w:pPr>
        <w:pStyle w:val="NoSpacing"/>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w:t>
      </w: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Michael McPartland</w:t>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r>
      <w:r w:rsidRPr="007D53E6">
        <w:rPr>
          <w:rFonts w:ascii="Arial" w:hAnsi="Arial" w:cs="Arial"/>
          <w:sz w:val="24"/>
          <w:szCs w:val="24"/>
        </w:rPr>
        <w:tab/>
        <w:t>Annamarie O’Connor</w:t>
      </w:r>
    </w:p>
    <w:p w:rsidR="007D53E6" w:rsidRPr="007D53E6" w:rsidRDefault="007D53E6" w:rsidP="007D53E6">
      <w:pPr>
        <w:pStyle w:val="NoSpacing"/>
        <w:rPr>
          <w:rFonts w:ascii="Arial" w:hAnsi="Arial" w:cs="Arial"/>
          <w:sz w:val="24"/>
          <w:szCs w:val="24"/>
        </w:rPr>
      </w:pPr>
      <w:r w:rsidRPr="007D53E6">
        <w:rPr>
          <w:rFonts w:ascii="Arial" w:hAnsi="Arial" w:cs="Arial"/>
          <w:sz w:val="24"/>
          <w:szCs w:val="24"/>
        </w:rPr>
        <w:t>Mayor</w:t>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b/>
          <w:bCs/>
          <w:sz w:val="24"/>
          <w:szCs w:val="24"/>
        </w:rPr>
        <w:tab/>
      </w:r>
      <w:r w:rsidRPr="007D53E6">
        <w:rPr>
          <w:rFonts w:ascii="Arial" w:hAnsi="Arial" w:cs="Arial"/>
          <w:sz w:val="24"/>
          <w:szCs w:val="24"/>
        </w:rPr>
        <w:t>Borough Clerk</w:t>
      </w:r>
    </w:p>
    <w:p w:rsidR="007D53E6" w:rsidRDefault="007D53E6"/>
    <w:sectPr w:rsidR="007D5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E6"/>
    <w:rsid w:val="00617183"/>
    <w:rsid w:val="007D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5E2C"/>
  <w15:chartTrackingRefBased/>
  <w15:docId w15:val="{7019CA79-13A4-490D-B5C4-ABA45B5C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3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cp:revision>
  <dcterms:created xsi:type="dcterms:W3CDTF">2020-12-07T20:34:00Z</dcterms:created>
  <dcterms:modified xsi:type="dcterms:W3CDTF">2020-12-07T20:38:00Z</dcterms:modified>
</cp:coreProperties>
</file>