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4403E04" wp14:editId="4F97E0F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42E56" w:rsidP="009C1D30">
            <w:pPr>
              <w:spacing w:after="0"/>
              <w:rPr>
                <w:rFonts w:eastAsia="Times New Roman"/>
                <w:sz w:val="20"/>
                <w:szCs w:val="20"/>
              </w:rPr>
            </w:pPr>
            <w:r>
              <w:rPr>
                <w:rFonts w:eastAsia="Times New Roman"/>
                <w:sz w:val="20"/>
                <w:szCs w:val="20"/>
              </w:rPr>
              <w:t>June 15</w:t>
            </w:r>
            <w:r w:rsidR="0048366D">
              <w:rPr>
                <w:rFonts w:eastAsia="Times New Roman"/>
                <w:sz w:val="20"/>
                <w:szCs w:val="20"/>
              </w:rPr>
              <w:t xml:space="preserve"> </w:t>
            </w:r>
            <w:r w:rsidR="007B14CA">
              <w:rPr>
                <w:rFonts w:eastAsia="Times New Roman"/>
                <w:sz w:val="20"/>
                <w:szCs w:val="20"/>
              </w:rPr>
              <w:t>,2020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7B14CA" w:rsidP="00D6015E">
            <w:pPr>
              <w:spacing w:after="0"/>
              <w:rPr>
                <w:rFonts w:eastAsia="Times New Roman"/>
                <w:sz w:val="20"/>
                <w:szCs w:val="20"/>
              </w:rPr>
            </w:pPr>
            <w:r>
              <w:rPr>
                <w:rFonts w:eastAsia="Times New Roman"/>
                <w:sz w:val="20"/>
                <w:szCs w:val="20"/>
              </w:rPr>
              <w:t>2020</w:t>
            </w:r>
            <w:r w:rsidR="002E5C07">
              <w:rPr>
                <w:rFonts w:eastAsia="Times New Roman"/>
                <w:sz w:val="20"/>
                <w:szCs w:val="20"/>
              </w:rPr>
              <w:t>-147</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AB2B80" w:rsidRDefault="00AB2B80" w:rsidP="00AB2B80">
      <w:pPr>
        <w:jc w:val="center"/>
      </w:pPr>
      <w:r>
        <w:rPr>
          <w:b/>
        </w:rPr>
        <w:t>A RESOLUTION AUTHORIZING A SETTLEMENT AGREEMENT BY AND AMONG THE BOROUGH OF EDGEWATER AND FAIR SHARE HOUSING CENTER TO RESOLVE THE AFFORDABLE HOUSING ISSUES RAISED IN THE BOROUGH’S DECLARATORY JUDGMENT ACTION</w:t>
      </w:r>
    </w:p>
    <w:p w:rsidR="00AB2B80" w:rsidRPr="00386ABA" w:rsidRDefault="00AB2B80" w:rsidP="00AB2B80">
      <w:pPr>
        <w:spacing w:line="480" w:lineRule="auto"/>
        <w:jc w:val="both"/>
      </w:pPr>
      <w:r>
        <w:rPr>
          <w:b/>
        </w:rPr>
        <w:t xml:space="preserve">WHEREAS, </w:t>
      </w:r>
      <w:r>
        <w:t xml:space="preserve">the </w:t>
      </w:r>
      <w:r w:rsidRPr="00E53FD2">
        <w:rPr>
          <w:color w:val="333333"/>
        </w:rPr>
        <w:t xml:space="preserve">New Jersey Supreme Court </w:t>
      </w:r>
      <w:r>
        <w:t xml:space="preserve">declared that the discriminatory use of zoning powers was illegal and provided, as a matter of constitutional law, that each developing municipality “must, by its land use regulations, make realistically possible the opportunity for an appropriate variety and choice of housing for all categories of people who may desire to live there, of course including those of low and moderate income,” </w:t>
      </w:r>
      <w:r>
        <w:rPr>
          <w:u w:val="single"/>
        </w:rPr>
        <w:t xml:space="preserve">In Re Adoption of N.J.A.C. 5:96 and 5:97 by the New Jersey Council on Affordable Housing, </w:t>
      </w:r>
      <w:r w:rsidRPr="00EC5DB3">
        <w:t>221</w:t>
      </w:r>
      <w:r>
        <w:t xml:space="preserve"> </w:t>
      </w:r>
      <w:r>
        <w:rPr>
          <w:u w:val="single"/>
        </w:rPr>
        <w:t>N.J</w:t>
      </w:r>
      <w:r w:rsidRPr="00EC5DB3">
        <w:t>. 1, 6</w:t>
      </w:r>
      <w:r>
        <w:t xml:space="preserve"> </w:t>
      </w:r>
      <w:r w:rsidRPr="00EC5DB3">
        <w:t>(2015)</w:t>
      </w:r>
      <w:r>
        <w:t xml:space="preserve"> (</w:t>
      </w:r>
      <w:r w:rsidRPr="00386ABA">
        <w:rPr>
          <w:i/>
        </w:rPr>
        <w:t>Mount Laurel IV</w:t>
      </w:r>
      <w:r>
        <w:t xml:space="preserve">), citing </w:t>
      </w:r>
      <w:r w:rsidRPr="00271DD3">
        <w:rPr>
          <w:u w:val="single"/>
        </w:rPr>
        <w:t>S. Burlington Cnty. NAACP v. Twp. of Mount Laurel</w:t>
      </w:r>
      <w:r>
        <w:t xml:space="preserve"> (</w:t>
      </w:r>
      <w:r w:rsidRPr="00680911">
        <w:rPr>
          <w:i/>
        </w:rPr>
        <w:t>Mount Laurel I</w:t>
      </w:r>
      <w:r>
        <w:t xml:space="preserve">), 67 </w:t>
      </w:r>
      <w:r w:rsidRPr="008E0A76">
        <w:rPr>
          <w:u w:val="single"/>
        </w:rPr>
        <w:t>N.J.</w:t>
      </w:r>
      <w:r>
        <w:t xml:space="preserve"> 151, 179, 187, appeal dismissed and cert. denied, 423 </w:t>
      </w:r>
      <w:r w:rsidRPr="008E0A76">
        <w:rPr>
          <w:u w:val="single"/>
        </w:rPr>
        <w:t>U.S</w:t>
      </w:r>
      <w:r>
        <w:t xml:space="preserve">. 808, 96 </w:t>
      </w:r>
      <w:r w:rsidRPr="008E0A76">
        <w:rPr>
          <w:u w:val="single"/>
        </w:rPr>
        <w:t>S. Ct</w:t>
      </w:r>
      <w:r>
        <w:t xml:space="preserve">. 18, 46 </w:t>
      </w:r>
      <w:r w:rsidRPr="008E0A76">
        <w:rPr>
          <w:u w:val="single"/>
        </w:rPr>
        <w:t>L. Ed</w:t>
      </w:r>
      <w:r>
        <w:t xml:space="preserve">. 2d 28 (1975), and that this constitutional obligation requires that towns must provide “a realistic opportunity for the construction of [their] fair share of the present and prospective regional need for low and moderate income housing,” </w:t>
      </w:r>
      <w:r>
        <w:rPr>
          <w:u w:val="single"/>
        </w:rPr>
        <w:t>Ibid,</w:t>
      </w:r>
      <w:r>
        <w:t xml:space="preserve"> citing </w:t>
      </w:r>
      <w:r w:rsidRPr="00271DD3">
        <w:rPr>
          <w:u w:val="single"/>
        </w:rPr>
        <w:t xml:space="preserve">S. Burlington Cnty. NAACP v. Twp. of Mount Laurel </w:t>
      </w:r>
      <w:r>
        <w:t>(</w:t>
      </w:r>
      <w:r w:rsidRPr="00680911">
        <w:rPr>
          <w:i/>
        </w:rPr>
        <w:t>Mount Laurel II</w:t>
      </w:r>
      <w:r>
        <w:t xml:space="preserve">), 92 </w:t>
      </w:r>
      <w:r w:rsidRPr="00726FDD">
        <w:rPr>
          <w:u w:val="single"/>
        </w:rPr>
        <w:t>N.J</w:t>
      </w:r>
      <w:r>
        <w:t xml:space="preserve">. 158, 205 (1983),(together with </w:t>
      </w:r>
      <w:r w:rsidRPr="00680911">
        <w:rPr>
          <w:i/>
          <w:color w:val="333333"/>
        </w:rPr>
        <w:t>Mount Laurel I</w:t>
      </w:r>
      <w:r>
        <w:rPr>
          <w:color w:val="333333"/>
        </w:rPr>
        <w:t xml:space="preserve">, the </w:t>
      </w:r>
      <w:r w:rsidRPr="00BB149A">
        <w:rPr>
          <w:i/>
        </w:rPr>
        <w:t>Mount Laurel Doctrine</w:t>
      </w:r>
      <w:r>
        <w:t>).</w:t>
      </w:r>
      <w:r w:rsidRPr="00E53FD2">
        <w:rPr>
          <w:color w:val="333333"/>
        </w:rPr>
        <w:t xml:space="preserve"> </w:t>
      </w:r>
    </w:p>
    <w:p w:rsidR="00AB2B80" w:rsidRPr="00AB2B80" w:rsidRDefault="00AB2B80" w:rsidP="00AB2B80">
      <w:pPr>
        <w:spacing w:line="480" w:lineRule="auto"/>
        <w:jc w:val="both"/>
        <w:rPr>
          <w:color w:val="333333"/>
        </w:rPr>
      </w:pPr>
      <w:r>
        <w:rPr>
          <w:b/>
        </w:rPr>
        <w:lastRenderedPageBreak/>
        <w:t>WHEREAS,</w:t>
      </w:r>
      <w:r>
        <w:t xml:space="preserve"> the Borough of Edgewater (“Borough”) has long engaged in the judicial process and the administrative process before the Council on Affordable Housing (COAH) established under the Fair Housing Act, N.J.S.A. 52:27D-1 et seq., to obtain approval of its affordable housing plan in compliance with its obligations under the </w:t>
      </w:r>
      <w:r w:rsidRPr="00BB149A">
        <w:rPr>
          <w:i/>
        </w:rPr>
        <w:t>Mount Laurel Doctrine</w:t>
      </w:r>
      <w:r>
        <w:t xml:space="preserve">; </w:t>
      </w:r>
      <w:r w:rsidRPr="00AB2B80">
        <w:t xml:space="preserve">and </w:t>
      </w:r>
    </w:p>
    <w:p w:rsidR="00AB2B80" w:rsidRPr="00AB2B80" w:rsidRDefault="00AB2B80" w:rsidP="00AB2B80">
      <w:pPr>
        <w:spacing w:line="480" w:lineRule="auto"/>
        <w:jc w:val="both"/>
      </w:pPr>
      <w:r w:rsidRPr="00AB2B80">
        <w:rPr>
          <w:b/>
        </w:rPr>
        <w:t xml:space="preserve">WHEREAS, </w:t>
      </w:r>
      <w:r w:rsidRPr="00AB2B80">
        <w:t xml:space="preserve">the New Jersey Supreme Court, in </w:t>
      </w:r>
      <w:r w:rsidRPr="00AB2B80">
        <w:rPr>
          <w:i/>
        </w:rPr>
        <w:t>Mount Laurel IV</w:t>
      </w:r>
      <w:r w:rsidRPr="00AB2B80">
        <w:t xml:space="preserve"> determined that “the administrative forum (“COAH”) is not capable of functioning as intended by the Fair Housing Act due to the lack of lawful Third Round Rules assigning constitutional obligations to municipalities,” and, consequently “the Courts may resume their role as the forum of first instance for evaluating municipal compliance with Mount Laurel obligations;” and </w:t>
      </w:r>
    </w:p>
    <w:p w:rsidR="00AB2B80" w:rsidRPr="00AB2B80" w:rsidRDefault="00AB2B80" w:rsidP="00AB2B80">
      <w:pPr>
        <w:spacing w:line="480" w:lineRule="auto"/>
        <w:jc w:val="both"/>
      </w:pPr>
      <w:r w:rsidRPr="00AB2B80">
        <w:rPr>
          <w:b/>
        </w:rPr>
        <w:t xml:space="preserve">WHEREAS, </w:t>
      </w:r>
      <w:r w:rsidRPr="00AB2B80">
        <w:rPr>
          <w:i/>
        </w:rPr>
        <w:t>Mount Laurel IV</w:t>
      </w:r>
      <w:r w:rsidRPr="00AB2B80">
        <w:t xml:space="preserve"> accordingly provided for a judicial mechanism for municipalities to seek a declaratory judgment that they have complied with the </w:t>
      </w:r>
      <w:r w:rsidRPr="00AB2B80">
        <w:rPr>
          <w:i/>
        </w:rPr>
        <w:t>Mount Laurel Doctrine</w:t>
      </w:r>
      <w:r w:rsidRPr="00AB2B80">
        <w:t xml:space="preserve"> and are entitled to immunity from exclusionary zoning lawsuits; and</w:t>
      </w:r>
    </w:p>
    <w:p w:rsidR="00AB2B80" w:rsidRPr="00AB2B80" w:rsidRDefault="00AB2B80" w:rsidP="00AB2B80">
      <w:pPr>
        <w:spacing w:line="480" w:lineRule="auto"/>
        <w:ind w:firstLine="720"/>
        <w:jc w:val="both"/>
      </w:pPr>
      <w:r w:rsidRPr="00AB2B80">
        <w:rPr>
          <w:b/>
        </w:rPr>
        <w:t>WHEREAS,</w:t>
      </w:r>
      <w:r w:rsidRPr="00AB2B80">
        <w:t xml:space="preserve"> on July 8, 2015, the Borough filed a declaratory judgment action under the procedures established by the Supreme Court in </w:t>
      </w:r>
      <w:r w:rsidRPr="00AB2B80">
        <w:rPr>
          <w:i/>
        </w:rPr>
        <w:t xml:space="preserve">Mount Laurel IV </w:t>
      </w:r>
      <w:r w:rsidRPr="00AB2B80">
        <w:t xml:space="preserve">encaptioned </w:t>
      </w:r>
      <w:r w:rsidRPr="00AB2B80">
        <w:rPr>
          <w:u w:val="single"/>
        </w:rPr>
        <w:t>In the Matter of the Application of the Borough of Edgewater, Bergen County, New Jersey for a Declaratory Judgment</w:t>
      </w:r>
      <w:r w:rsidRPr="00AB2B80">
        <w:t xml:space="preserve">, Docket No. BER-L-6364-15 (“the Declaratory Judgment Action”) to address its </w:t>
      </w:r>
      <w:r w:rsidRPr="00AB2B80">
        <w:rPr>
          <w:i/>
        </w:rPr>
        <w:t>Mount Laurel Obligation</w:t>
      </w:r>
      <w:r w:rsidRPr="00AB2B80">
        <w:t xml:space="preserve">; and </w:t>
      </w:r>
    </w:p>
    <w:p w:rsidR="00AB2B80" w:rsidRPr="00AB2B80" w:rsidRDefault="00AB2B80" w:rsidP="00AB2B80">
      <w:pPr>
        <w:pStyle w:val="PlainText0"/>
        <w:spacing w:line="480" w:lineRule="auto"/>
        <w:ind w:firstLine="720"/>
        <w:jc w:val="both"/>
        <w:rPr>
          <w:rFonts w:ascii="Arial" w:hAnsi="Arial" w:cs="Arial"/>
        </w:rPr>
      </w:pPr>
      <w:r w:rsidRPr="00AB2B80">
        <w:rPr>
          <w:rFonts w:ascii="Arial" w:hAnsi="Arial" w:cs="Arial"/>
          <w:b/>
        </w:rPr>
        <w:t xml:space="preserve">WHEREAS, </w:t>
      </w:r>
      <w:r w:rsidRPr="00AB2B80">
        <w:rPr>
          <w:rFonts w:ascii="Arial" w:hAnsi="Arial" w:cs="Arial"/>
        </w:rPr>
        <w:t xml:space="preserve">the settlement of </w:t>
      </w:r>
      <w:r w:rsidRPr="00AB2B80">
        <w:rPr>
          <w:rFonts w:ascii="Arial" w:hAnsi="Arial" w:cs="Arial"/>
          <w:i/>
        </w:rPr>
        <w:t xml:space="preserve">Mount Laurel </w:t>
      </w:r>
      <w:r w:rsidRPr="00AB2B80">
        <w:rPr>
          <w:rFonts w:ascii="Arial" w:hAnsi="Arial" w:cs="Arial"/>
        </w:rPr>
        <w:t>litigation is favored because it avoids delays and the expense of trial and results more quickly in the construction of homes for low and moderate-income households; and</w:t>
      </w:r>
    </w:p>
    <w:p w:rsidR="00AB2B80" w:rsidRPr="00AB2B80" w:rsidRDefault="00AB2B80" w:rsidP="00AB2B80">
      <w:pPr>
        <w:pStyle w:val="PlainText0"/>
        <w:spacing w:line="480" w:lineRule="auto"/>
        <w:jc w:val="both"/>
        <w:rPr>
          <w:rFonts w:ascii="Arial" w:hAnsi="Arial" w:cs="Arial"/>
        </w:rPr>
      </w:pPr>
      <w:r w:rsidRPr="00AB2B80">
        <w:rPr>
          <w:rFonts w:ascii="Arial" w:hAnsi="Arial" w:cs="Arial"/>
          <w:b/>
        </w:rPr>
        <w:lastRenderedPageBreak/>
        <w:t xml:space="preserve">WHEREAS, </w:t>
      </w:r>
      <w:r w:rsidRPr="00AB2B80">
        <w:rPr>
          <w:rFonts w:ascii="Arial" w:hAnsi="Arial" w:cs="Arial"/>
        </w:rPr>
        <w:t xml:space="preserve">the Borough of Edgewater Planning Board (“the Planning Board”) will adopt a, amended Housing Element and Fair Share Plan (HE/FSP) to provide for the Borough’s compliance with its </w:t>
      </w:r>
      <w:r w:rsidRPr="00AB2B80">
        <w:rPr>
          <w:rFonts w:ascii="Arial" w:hAnsi="Arial" w:cs="Arial"/>
          <w:i/>
        </w:rPr>
        <w:t xml:space="preserve">Mount Laurel Obligation </w:t>
      </w:r>
      <w:r w:rsidRPr="00AB2B80">
        <w:rPr>
          <w:rFonts w:ascii="Arial" w:hAnsi="Arial" w:cs="Arial"/>
        </w:rPr>
        <w:t>which will be provided to the Governing Body for review; and</w:t>
      </w:r>
    </w:p>
    <w:p w:rsidR="00AB2B80" w:rsidRPr="00AB2B80" w:rsidRDefault="00AB2B80" w:rsidP="00AB2B80">
      <w:pPr>
        <w:spacing w:line="480" w:lineRule="auto"/>
        <w:jc w:val="both"/>
      </w:pPr>
      <w:r w:rsidRPr="00AB2B80">
        <w:rPr>
          <w:b/>
        </w:rPr>
        <w:t xml:space="preserve">WHEREAS, </w:t>
      </w:r>
      <w:r w:rsidRPr="00AB2B80">
        <w:t xml:space="preserve">Ordinances will be presented to the Governing Body for introduction and adoption to implement the amended HE/FSP and provide mechanisms for the provision of affordable housing; and </w:t>
      </w:r>
    </w:p>
    <w:p w:rsidR="00AB2B80" w:rsidRPr="00AB2B80" w:rsidRDefault="00AB2B80" w:rsidP="00AB2B80">
      <w:pPr>
        <w:spacing w:line="480" w:lineRule="auto"/>
        <w:jc w:val="both"/>
      </w:pPr>
      <w:r w:rsidRPr="00AB2B80">
        <w:rPr>
          <w:b/>
        </w:rPr>
        <w:t xml:space="preserve">WHEREAS, </w:t>
      </w:r>
      <w:r w:rsidRPr="00AB2B80">
        <w:t>presented to the Governing Body for review and approval is a proposed Settlement Agreement with FSHC to resolve all disputes arising under the Borough’s Declaratory Judgment Action; and</w:t>
      </w:r>
    </w:p>
    <w:p w:rsidR="00AB2B80" w:rsidRPr="00AB2B80" w:rsidRDefault="00AB2B80" w:rsidP="00AB2B80">
      <w:pPr>
        <w:spacing w:line="480" w:lineRule="auto"/>
        <w:ind w:firstLine="720"/>
        <w:jc w:val="both"/>
      </w:pPr>
      <w:r w:rsidRPr="00AB2B80">
        <w:rPr>
          <w:b/>
          <w:bCs/>
        </w:rPr>
        <w:t>WHEREAS</w:t>
      </w:r>
      <w:r w:rsidRPr="00AB2B80">
        <w:t xml:space="preserve">, the Borough initially was alleged to have a third round obligation of 1243 affordable housing units for the time period of 1999-2025; and </w:t>
      </w:r>
    </w:p>
    <w:p w:rsidR="00AB2B80" w:rsidRPr="00AB2B80" w:rsidRDefault="00AB2B80" w:rsidP="00AB2B80">
      <w:pPr>
        <w:spacing w:line="480" w:lineRule="auto"/>
        <w:ind w:firstLine="720"/>
        <w:jc w:val="both"/>
      </w:pPr>
      <w:r w:rsidRPr="003C6513">
        <w:rPr>
          <w:b/>
          <w:bCs/>
        </w:rPr>
        <w:t>WHEREAS</w:t>
      </w:r>
      <w:r w:rsidRPr="003C6513">
        <w:t>, the Fair Share Housing Center</w:t>
      </w:r>
      <w:r>
        <w:t xml:space="preserve"> (“FSHC”)</w:t>
      </w:r>
      <w:r w:rsidRPr="003C6513">
        <w:t>, a New Jersey non-profit entity</w:t>
      </w:r>
      <w:r>
        <w:t xml:space="preserve"> and </w:t>
      </w:r>
      <w:r w:rsidRPr="00940B4F">
        <w:t>a Supreme Court-designated</w:t>
      </w:r>
      <w:r>
        <w:t xml:space="preserve"> interested party in the Declaratory Judgment action</w:t>
      </w:r>
      <w:r w:rsidRPr="003C6513">
        <w:t xml:space="preserve">, </w:t>
      </w:r>
      <w:r>
        <w:t xml:space="preserve">formally </w:t>
      </w:r>
      <w:r w:rsidRPr="003C6513">
        <w:t xml:space="preserve">intervened in the affordable housing case and additionally has filed several other lawsuits against the Borough all of which have been aggressively defended by the Borough; </w:t>
      </w:r>
      <w:r w:rsidRPr="00AB2B80">
        <w:t xml:space="preserve">and </w:t>
      </w:r>
    </w:p>
    <w:p w:rsidR="00AB2B80" w:rsidRPr="00AB2B80" w:rsidRDefault="00AB2B80" w:rsidP="00AB2B80">
      <w:pPr>
        <w:pStyle w:val="PlainText0"/>
        <w:spacing w:line="480" w:lineRule="auto"/>
        <w:ind w:firstLine="720"/>
        <w:jc w:val="both"/>
        <w:rPr>
          <w:rFonts w:ascii="Arial" w:hAnsi="Arial" w:cs="Arial"/>
        </w:rPr>
      </w:pPr>
      <w:r w:rsidRPr="00AB2B80">
        <w:rPr>
          <w:rFonts w:ascii="Arial" w:hAnsi="Arial" w:cs="Arial"/>
          <w:b/>
        </w:rPr>
        <w:t>WHEREAS,</w:t>
      </w:r>
      <w:r w:rsidRPr="00AB2B80">
        <w:rPr>
          <w:rFonts w:ascii="Arial" w:hAnsi="Arial" w:cs="Arial"/>
        </w:rPr>
        <w:t xml:space="preserve"> FSHC is a party to the settlement agreement and will be able to enforce the settlement agreement; and</w:t>
      </w:r>
    </w:p>
    <w:p w:rsidR="00AB2B80" w:rsidRPr="00AB2B80" w:rsidRDefault="00AB2B80" w:rsidP="00AB2B80">
      <w:pPr>
        <w:spacing w:line="480" w:lineRule="auto"/>
        <w:ind w:firstLine="720"/>
        <w:jc w:val="both"/>
      </w:pPr>
      <w:r w:rsidRPr="00AB2B80">
        <w:rPr>
          <w:b/>
          <w:bCs/>
        </w:rPr>
        <w:t>WHEREAS</w:t>
      </w:r>
      <w:r w:rsidRPr="00AB2B80">
        <w:t xml:space="preserve">, the Governing Body feels that a settlement of the lawsuits would be in the best interests of the taxpayers and residents of the Borough of Edgewater and would provide certainty to the Borough on its affordable housing matters; and </w:t>
      </w:r>
    </w:p>
    <w:p w:rsidR="00AB2B80" w:rsidRPr="003C6513" w:rsidRDefault="00AB2B80" w:rsidP="00AB2B80">
      <w:pPr>
        <w:spacing w:line="480" w:lineRule="auto"/>
        <w:ind w:firstLine="720"/>
        <w:jc w:val="both"/>
      </w:pPr>
      <w:r w:rsidRPr="003C6513">
        <w:rPr>
          <w:b/>
          <w:bCs/>
        </w:rPr>
        <w:lastRenderedPageBreak/>
        <w:t>WHEREAS</w:t>
      </w:r>
      <w:r w:rsidRPr="003C6513">
        <w:t>, settlement of the affordable housing case will effectively set the Borough</w:t>
      </w:r>
      <w:r>
        <w:t>’</w:t>
      </w:r>
      <w:r w:rsidRPr="003C6513">
        <w:t xml:space="preserve">s obligation at 624 units, nearly 50% of the original alleged obligation; and </w:t>
      </w:r>
    </w:p>
    <w:p w:rsidR="00AB2B80" w:rsidRPr="003C6513" w:rsidRDefault="00AB2B80" w:rsidP="00AB2B80">
      <w:pPr>
        <w:spacing w:line="480" w:lineRule="auto"/>
        <w:ind w:firstLine="720"/>
        <w:jc w:val="both"/>
      </w:pPr>
      <w:r w:rsidRPr="003C6513">
        <w:rPr>
          <w:b/>
          <w:bCs/>
        </w:rPr>
        <w:t>WHEREAS</w:t>
      </w:r>
      <w:r w:rsidRPr="003C6513">
        <w:t>, the Mayor and Council and Fair Share Housing Center have come to an amicable settlement of these matters; and</w:t>
      </w:r>
    </w:p>
    <w:p w:rsidR="00AB2B80" w:rsidRDefault="00AB2B80" w:rsidP="00AB2B80">
      <w:pPr>
        <w:spacing w:line="480" w:lineRule="auto"/>
        <w:ind w:firstLine="720"/>
        <w:jc w:val="both"/>
      </w:pPr>
      <w:r>
        <w:rPr>
          <w:b/>
        </w:rPr>
        <w:t xml:space="preserve">NOW, THEREFORE, BE IT RESOLVED </w:t>
      </w:r>
      <w:r>
        <w:t>by the Mayor and Council of the Borough of Edgewater that:</w:t>
      </w:r>
    </w:p>
    <w:p w:rsidR="00AB2B80" w:rsidRPr="00AB2B80" w:rsidRDefault="00AB2B80" w:rsidP="00AB2B80">
      <w:pPr>
        <w:pStyle w:val="ListParagraph"/>
        <w:widowControl w:val="0"/>
        <w:numPr>
          <w:ilvl w:val="0"/>
          <w:numId w:val="3"/>
        </w:numPr>
        <w:autoSpaceDE w:val="0"/>
        <w:autoSpaceDN w:val="0"/>
        <w:adjustRightInd w:val="0"/>
        <w:spacing w:line="480" w:lineRule="auto"/>
        <w:jc w:val="both"/>
        <w:rPr>
          <w:rFonts w:ascii="Arial" w:hAnsi="Arial" w:cs="Arial"/>
        </w:rPr>
      </w:pPr>
      <w:r w:rsidRPr="00AB2B80">
        <w:rPr>
          <w:rFonts w:ascii="Arial" w:hAnsi="Arial" w:cs="Arial"/>
        </w:rPr>
        <w:t>The Governing Body will review the amended Housing Element and Fair Share Plan and all of its constituent components to address and provide for the Borough’s</w:t>
      </w:r>
      <w:r w:rsidRPr="00AB2B80">
        <w:rPr>
          <w:rFonts w:ascii="Arial" w:hAnsi="Arial" w:cs="Arial"/>
          <w:i/>
        </w:rPr>
        <w:t xml:space="preserve"> Mount Laurel Obligation,</w:t>
      </w:r>
      <w:r w:rsidRPr="00AB2B80">
        <w:rPr>
          <w:rFonts w:ascii="Arial" w:hAnsi="Arial" w:cs="Arial"/>
        </w:rPr>
        <w:t xml:space="preserve"> upon the Court’s review and approval of same.</w:t>
      </w:r>
    </w:p>
    <w:p w:rsidR="00AB2B80" w:rsidRPr="00AB2B80" w:rsidRDefault="00AB2B80" w:rsidP="00AB2B80">
      <w:pPr>
        <w:pStyle w:val="ListParagraph"/>
        <w:widowControl w:val="0"/>
        <w:numPr>
          <w:ilvl w:val="0"/>
          <w:numId w:val="3"/>
        </w:numPr>
        <w:autoSpaceDE w:val="0"/>
        <w:autoSpaceDN w:val="0"/>
        <w:adjustRightInd w:val="0"/>
        <w:spacing w:line="480" w:lineRule="auto"/>
        <w:jc w:val="both"/>
        <w:rPr>
          <w:rFonts w:ascii="Arial" w:hAnsi="Arial" w:cs="Arial"/>
        </w:rPr>
      </w:pPr>
      <w:r w:rsidRPr="00AB2B80">
        <w:rPr>
          <w:rFonts w:ascii="Arial" w:hAnsi="Arial" w:cs="Arial"/>
        </w:rPr>
        <w:t>The Governing Body will review and take necessary actions to adopt the Ordinances to implement the amended Housing Element and Fair Share Plan which will be considered for adoption upon the Court’s review and approval of same.</w:t>
      </w:r>
    </w:p>
    <w:p w:rsidR="00AB2B80" w:rsidRPr="00AB2B80" w:rsidRDefault="00AB2B80" w:rsidP="00AB2B80">
      <w:pPr>
        <w:pStyle w:val="ListParagraph"/>
        <w:widowControl w:val="0"/>
        <w:numPr>
          <w:ilvl w:val="0"/>
          <w:numId w:val="3"/>
        </w:numPr>
        <w:autoSpaceDE w:val="0"/>
        <w:autoSpaceDN w:val="0"/>
        <w:adjustRightInd w:val="0"/>
        <w:spacing w:line="480" w:lineRule="auto"/>
        <w:jc w:val="both"/>
        <w:rPr>
          <w:rFonts w:ascii="Arial" w:hAnsi="Arial" w:cs="Arial"/>
        </w:rPr>
      </w:pPr>
      <w:r w:rsidRPr="00AB2B80">
        <w:rPr>
          <w:rFonts w:ascii="Arial" w:hAnsi="Arial" w:cs="Arial"/>
        </w:rPr>
        <w:t>The Governing Body hereby approves and endorses the proposed Settlement Agreement with FSHC to resolve all disputes arising under the Borough’s Declaratory Judgment Action, subject to the Court’s review and determination. The Mayor is hereby authorized to execute the Settlement Agreement on behalf of the Borough substantially in the form as presented to the Governing Body and upon the advice of Borough Counsel.</w:t>
      </w:r>
    </w:p>
    <w:p w:rsidR="00AB2B80" w:rsidRPr="00AB2B80" w:rsidRDefault="00AB2B80" w:rsidP="00AB2B80">
      <w:pPr>
        <w:pStyle w:val="ListParagraph"/>
        <w:widowControl w:val="0"/>
        <w:numPr>
          <w:ilvl w:val="0"/>
          <w:numId w:val="3"/>
        </w:numPr>
        <w:autoSpaceDE w:val="0"/>
        <w:autoSpaceDN w:val="0"/>
        <w:adjustRightInd w:val="0"/>
        <w:spacing w:line="480" w:lineRule="auto"/>
        <w:jc w:val="both"/>
        <w:rPr>
          <w:rFonts w:ascii="Arial" w:hAnsi="Arial" w:cs="Arial"/>
        </w:rPr>
      </w:pPr>
      <w:r w:rsidRPr="00AB2B80">
        <w:rPr>
          <w:rFonts w:ascii="Arial" w:hAnsi="Arial" w:cs="Arial"/>
        </w:rPr>
        <w:t xml:space="preserve">The appropriate Borough officials be and are hereby authorized to execute the settlement agreement in a form substantially similar to the attached and </w:t>
      </w:r>
      <w:r w:rsidRPr="00AB2B80">
        <w:rPr>
          <w:rFonts w:ascii="Arial" w:hAnsi="Arial" w:cs="Arial"/>
        </w:rPr>
        <w:lastRenderedPageBreak/>
        <w:t xml:space="preserve">approved by the Borough Attorney; and </w:t>
      </w:r>
    </w:p>
    <w:p w:rsidR="00AB2B80" w:rsidRPr="00AB2B80" w:rsidRDefault="00AB2B80" w:rsidP="00AB2B80">
      <w:pPr>
        <w:pStyle w:val="ListParagraph"/>
        <w:widowControl w:val="0"/>
        <w:numPr>
          <w:ilvl w:val="0"/>
          <w:numId w:val="3"/>
        </w:numPr>
        <w:autoSpaceDE w:val="0"/>
        <w:autoSpaceDN w:val="0"/>
        <w:adjustRightInd w:val="0"/>
        <w:spacing w:line="480" w:lineRule="auto"/>
        <w:jc w:val="both"/>
        <w:rPr>
          <w:rFonts w:ascii="Arial" w:hAnsi="Arial" w:cs="Arial"/>
        </w:rPr>
      </w:pPr>
      <w:r w:rsidRPr="00AB2B80">
        <w:rPr>
          <w:rFonts w:ascii="Arial" w:hAnsi="Arial" w:cs="Arial"/>
        </w:rPr>
        <w:t>The Borough Attorney and Co-Counsel be authorized to execute any and all Consent Orders and/or Stipulations of Dismissal to achieve the finalization of these matters.</w:t>
      </w:r>
    </w:p>
    <w:p w:rsidR="00AB2B80" w:rsidRDefault="00AB2B80" w:rsidP="00AB2B80">
      <w:pPr>
        <w:spacing w:line="480" w:lineRule="auto"/>
        <w:jc w:val="both"/>
      </w:pPr>
    </w:p>
    <w:p w:rsidR="00A039A2" w:rsidRDefault="00A039A2" w:rsidP="00DE7E9B">
      <w:pPr>
        <w:rPr>
          <w:rFonts w:eastAsia="Times New Roman"/>
          <w:b/>
          <w:bCs/>
          <w:sz w:val="20"/>
          <w:szCs w:val="20"/>
        </w:rPr>
      </w:pPr>
    </w:p>
    <w:p w:rsidR="00C42E10" w:rsidRDefault="00C42E10" w:rsidP="00C42E10"/>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Pr="00AB2B80" w:rsidRDefault="00A039A2" w:rsidP="00DE7E9B">
      <w:pPr>
        <w:rPr>
          <w:rFonts w:eastAsia="Times New Roman"/>
          <w:b/>
          <w:bCs/>
        </w:rPr>
      </w:pPr>
    </w:p>
    <w:p w:rsidR="00A039A2" w:rsidRPr="00AB2B80" w:rsidRDefault="00A039A2" w:rsidP="00DE7E9B">
      <w:pPr>
        <w:rPr>
          <w:rFonts w:eastAsia="Times New Roman"/>
          <w:b/>
          <w:bCs/>
        </w:rPr>
      </w:pPr>
    </w:p>
    <w:p w:rsidR="007166B7" w:rsidRPr="00AB2B80" w:rsidRDefault="007166B7" w:rsidP="00DE7E9B">
      <w:pPr>
        <w:rPr>
          <w:rFonts w:eastAsia="Calibri"/>
          <w:b/>
        </w:rPr>
      </w:pPr>
      <w:r w:rsidRPr="00AB2B80">
        <w:rPr>
          <w:rFonts w:eastAsia="Times New Roman"/>
          <w:b/>
          <w:bCs/>
        </w:rPr>
        <w:t xml:space="preserve">I hereby certify that the above resolution was adopted by the Governing Body on </w:t>
      </w:r>
      <w:r w:rsidR="00342E56" w:rsidRPr="00AB2B80">
        <w:rPr>
          <w:rFonts w:eastAsia="Times New Roman"/>
          <w:b/>
          <w:bCs/>
        </w:rPr>
        <w:t xml:space="preserve">June 15, </w:t>
      </w:r>
      <w:r w:rsidR="007B14CA" w:rsidRPr="00AB2B80">
        <w:rPr>
          <w:rFonts w:eastAsia="Times New Roman"/>
          <w:b/>
          <w:bCs/>
        </w:rPr>
        <w:t>2020</w:t>
      </w:r>
      <w:r w:rsidRPr="00AB2B80">
        <w:rPr>
          <w:rFonts w:eastAsia="Calibri"/>
          <w:b/>
        </w:rPr>
        <w:tab/>
      </w:r>
    </w:p>
    <w:p w:rsidR="007166B7" w:rsidRPr="00AB2B80" w:rsidRDefault="007166B7" w:rsidP="007166B7">
      <w:pPr>
        <w:tabs>
          <w:tab w:val="left" w:pos="368"/>
        </w:tabs>
        <w:spacing w:after="0" w:line="277" w:lineRule="exact"/>
        <w:rPr>
          <w:rFonts w:eastAsia="Calibri"/>
          <w:b/>
        </w:rPr>
      </w:pPr>
    </w:p>
    <w:p w:rsidR="007166B7" w:rsidRPr="00AB2B80" w:rsidRDefault="007166B7" w:rsidP="007166B7">
      <w:pPr>
        <w:tabs>
          <w:tab w:val="left" w:pos="368"/>
        </w:tabs>
        <w:spacing w:after="0" w:line="277" w:lineRule="exact"/>
        <w:rPr>
          <w:rFonts w:eastAsia="Calibri"/>
          <w:b/>
        </w:rPr>
      </w:pPr>
    </w:p>
    <w:p w:rsidR="007166B7" w:rsidRPr="00AB2B80" w:rsidRDefault="007166B7" w:rsidP="007166B7">
      <w:pPr>
        <w:tabs>
          <w:tab w:val="left" w:pos="368"/>
        </w:tabs>
        <w:spacing w:after="0" w:line="277" w:lineRule="exact"/>
        <w:rPr>
          <w:rFonts w:eastAsia="Times New Roman"/>
        </w:rPr>
      </w:pPr>
      <w:r w:rsidRPr="00AB2B80">
        <w:rPr>
          <w:rFonts w:eastAsia="Calibri"/>
          <w:b/>
        </w:rPr>
        <w:tab/>
        <w:t>____________________________</w:t>
      </w:r>
      <w:r w:rsidRPr="00AB2B80">
        <w:rPr>
          <w:rFonts w:eastAsia="Calibri"/>
          <w:b/>
        </w:rPr>
        <w:tab/>
      </w:r>
      <w:r w:rsidRPr="00AB2B80">
        <w:rPr>
          <w:rFonts w:eastAsia="Calibri"/>
          <w:b/>
        </w:rPr>
        <w:tab/>
      </w:r>
      <w:r w:rsidRPr="00AB2B80">
        <w:rPr>
          <w:rFonts w:eastAsia="Calibri"/>
          <w:b/>
        </w:rPr>
        <w:tab/>
        <w:t>________________________</w:t>
      </w:r>
      <w:r w:rsidR="00AB2B80">
        <w:rPr>
          <w:rFonts w:eastAsia="Times New Roman"/>
        </w:rPr>
        <w:tab/>
        <w:t xml:space="preserve">Michael McPartland       </w:t>
      </w:r>
      <w:r w:rsidR="00AB2B80">
        <w:rPr>
          <w:rFonts w:eastAsia="Times New Roman"/>
        </w:rPr>
        <w:tab/>
      </w:r>
      <w:r w:rsidR="00AB2B80">
        <w:rPr>
          <w:rFonts w:eastAsia="Times New Roman"/>
        </w:rPr>
        <w:tab/>
      </w:r>
      <w:r w:rsidR="00AB2B80">
        <w:rPr>
          <w:rFonts w:eastAsia="Times New Roman"/>
        </w:rPr>
        <w:tab/>
      </w:r>
      <w:r w:rsidR="00AB2B80">
        <w:rPr>
          <w:rFonts w:eastAsia="Times New Roman"/>
        </w:rPr>
        <w:tab/>
      </w:r>
      <w:r w:rsidRPr="00AB2B80">
        <w:rPr>
          <w:rFonts w:eastAsia="Times New Roman"/>
        </w:rPr>
        <w:t>Annamarie O’Connor, RMC</w:t>
      </w:r>
      <w:r w:rsidRPr="00AB2B80">
        <w:rPr>
          <w:rFonts w:eastAsia="Times New Roman"/>
          <w:b/>
        </w:rPr>
        <w:tab/>
      </w:r>
    </w:p>
    <w:p w:rsidR="00A11AFE" w:rsidRPr="00AB2B80" w:rsidRDefault="007166B7" w:rsidP="00B52DD1">
      <w:pPr>
        <w:tabs>
          <w:tab w:val="left" w:pos="368"/>
        </w:tabs>
        <w:spacing w:after="0" w:line="277" w:lineRule="exact"/>
      </w:pPr>
      <w:r w:rsidRPr="00AB2B80">
        <w:rPr>
          <w:rFonts w:eastAsia="Times New Roman"/>
        </w:rPr>
        <w:tab/>
        <w:t xml:space="preserve">Mayor </w:t>
      </w:r>
      <w:r w:rsidRPr="00AB2B80">
        <w:rPr>
          <w:rFonts w:eastAsia="Times New Roman"/>
        </w:rPr>
        <w:tab/>
      </w:r>
      <w:r w:rsidRPr="00AB2B80">
        <w:rPr>
          <w:rFonts w:eastAsia="Times New Roman"/>
        </w:rPr>
        <w:tab/>
      </w:r>
      <w:r w:rsidRPr="00AB2B80">
        <w:rPr>
          <w:rFonts w:eastAsia="Times New Roman"/>
        </w:rPr>
        <w:tab/>
      </w:r>
      <w:r w:rsidRPr="00AB2B80">
        <w:rPr>
          <w:rFonts w:eastAsia="Times New Roman"/>
        </w:rPr>
        <w:tab/>
      </w:r>
      <w:r w:rsidRPr="00AB2B80">
        <w:rPr>
          <w:rFonts w:eastAsia="Times New Roman"/>
        </w:rPr>
        <w:tab/>
      </w:r>
      <w:r w:rsidRPr="00AB2B80">
        <w:rPr>
          <w:rFonts w:eastAsia="Times New Roman"/>
        </w:rPr>
        <w:tab/>
      </w:r>
      <w:r w:rsidRPr="00AB2B80">
        <w:rPr>
          <w:rFonts w:eastAsia="Times New Roman"/>
        </w:rPr>
        <w:tab/>
        <w:t>Borough Clerk</w:t>
      </w:r>
    </w:p>
    <w:sectPr w:rsidR="00A11AFE" w:rsidRPr="00AB2B80"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2E5C07">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262C2A3C"/>
    <w:multiLevelType w:val="hybridMultilevel"/>
    <w:tmpl w:val="0F6640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7AD3"/>
    <w:rsid w:val="001452E2"/>
    <w:rsid w:val="001543F4"/>
    <w:rsid w:val="00186E5E"/>
    <w:rsid w:val="001A3CCE"/>
    <w:rsid w:val="001A5551"/>
    <w:rsid w:val="001D75BF"/>
    <w:rsid w:val="00240C3B"/>
    <w:rsid w:val="002625C6"/>
    <w:rsid w:val="00285849"/>
    <w:rsid w:val="00295BE3"/>
    <w:rsid w:val="002E5C07"/>
    <w:rsid w:val="00324D16"/>
    <w:rsid w:val="00341FC7"/>
    <w:rsid w:val="00342E56"/>
    <w:rsid w:val="00355960"/>
    <w:rsid w:val="00376FE6"/>
    <w:rsid w:val="00390D7B"/>
    <w:rsid w:val="003A02F7"/>
    <w:rsid w:val="00413D43"/>
    <w:rsid w:val="0041586F"/>
    <w:rsid w:val="0048366D"/>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7B14CA"/>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2B80"/>
    <w:rsid w:val="00AB3F38"/>
    <w:rsid w:val="00B10FFD"/>
    <w:rsid w:val="00B52DD1"/>
    <w:rsid w:val="00B9215C"/>
    <w:rsid w:val="00BA188D"/>
    <w:rsid w:val="00BF2271"/>
    <w:rsid w:val="00C20723"/>
    <w:rsid w:val="00C42E10"/>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customStyle="1" w:styleId="PlainText0">
    <w:name w:val="* Plain Text"/>
    <w:basedOn w:val="Normal"/>
    <w:rsid w:val="00AB2B80"/>
    <w:pPr>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customStyle="1" w:styleId="PlainText0">
    <w:name w:val="* Plain Text"/>
    <w:basedOn w:val="Normal"/>
    <w:rsid w:val="00AB2B80"/>
    <w:pPr>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2DECC-0544-4E0E-B0F5-B6468CAE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2020-06-15T18:51:00Z</dcterms:created>
  <dcterms:modified xsi:type="dcterms:W3CDTF">2020-06-15T18:51:00Z</dcterms:modified>
</cp:coreProperties>
</file>