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24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6B4C17" w:rsidRPr="00257E41" w:rsidTr="00BD282C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6B4C17" w:rsidRPr="00257E41" w:rsidRDefault="006B4C17" w:rsidP="00BD282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644CA4C" wp14:editId="7811A82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B4C17" w:rsidRPr="00257E41" w:rsidTr="00BD282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6B4C17" w:rsidRPr="00257E41" w:rsidRDefault="006B4C17" w:rsidP="00BD282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B4C17" w:rsidRPr="00257E41" w:rsidTr="00BD282C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B4C17" w:rsidRPr="00257E41" w:rsidTr="00BD282C">
        <w:trPr>
          <w:gridAfter w:val="9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B4C17" w:rsidRPr="00257E41" w:rsidTr="00BD282C">
        <w:trPr>
          <w:gridAfter w:val="9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17" w:rsidRPr="00257E41" w:rsidRDefault="006B4C17" w:rsidP="006B4C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6B4C17" w:rsidRPr="00257E41" w:rsidTr="00BD282C">
        <w:trPr>
          <w:gridAfter w:val="9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CE3ED7" w:rsidRDefault="006B4C17" w:rsidP="00BD282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17" w:rsidRPr="00257E41" w:rsidRDefault="006B4C17" w:rsidP="006B4C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-006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B4C17" w:rsidRPr="00257E41" w:rsidTr="00BD282C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4C17" w:rsidRPr="00CE3ED7" w:rsidRDefault="006B4C17" w:rsidP="00BD282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B4C17" w:rsidRPr="00257E41" w:rsidTr="00BD282C">
        <w:trPr>
          <w:gridAfter w:val="9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CE3ED7" w:rsidRDefault="006B4C17" w:rsidP="00BD282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B4C17" w:rsidRPr="00257E41" w:rsidTr="00BD282C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4C17" w:rsidRPr="00CE3ED7" w:rsidRDefault="006B4C17" w:rsidP="00BD282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B4C17" w:rsidRPr="00257E41" w:rsidTr="00BD282C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CE3ED7" w:rsidRDefault="006B4C17" w:rsidP="00BD282C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B4C17" w:rsidRPr="00257E41" w:rsidTr="00BD282C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CE3ED7" w:rsidRDefault="006B4C17" w:rsidP="00BD282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B4C17" w:rsidRPr="00257E41" w:rsidTr="00BD282C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B4C17" w:rsidRPr="00CE3ED7" w:rsidRDefault="006B4C17" w:rsidP="00BD282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B4C17" w:rsidRPr="00257E41" w:rsidRDefault="006B4C17" w:rsidP="00BD28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B4C17" w:rsidRPr="008E4CDC" w:rsidTr="00BD282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C17" w:rsidRPr="008E4CDC" w:rsidRDefault="006B4C17" w:rsidP="00BD282C">
            <w:pPr>
              <w:pStyle w:val="NoSpacing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C17" w:rsidRPr="008E4CDC" w:rsidRDefault="006B4C17" w:rsidP="00BD282C">
            <w:pPr>
              <w:pStyle w:val="NoSpacing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C17" w:rsidRPr="008E4CDC" w:rsidRDefault="006B4C17" w:rsidP="00BD282C">
            <w:pPr>
              <w:pStyle w:val="NoSpacing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C17" w:rsidRPr="008E4CDC" w:rsidRDefault="006B4C17" w:rsidP="00BD282C">
            <w:pPr>
              <w:pStyle w:val="NoSpacing"/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C17" w:rsidRPr="008E4CDC" w:rsidRDefault="006B4C17" w:rsidP="00BD282C">
            <w:pPr>
              <w:pStyle w:val="NoSpacing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C17" w:rsidRPr="008E4CDC" w:rsidRDefault="006B4C17" w:rsidP="00BD282C">
            <w:pPr>
              <w:pStyle w:val="NoSpacing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C17" w:rsidRPr="008E4CDC" w:rsidRDefault="006B4C17" w:rsidP="00BD282C">
            <w:pPr>
              <w:pStyle w:val="NoSpacing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C17" w:rsidRPr="008E4CDC" w:rsidRDefault="006B4C17" w:rsidP="00BD282C">
            <w:pPr>
              <w:pStyle w:val="NoSpacing"/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C17" w:rsidRPr="008E4CDC" w:rsidRDefault="006B4C17" w:rsidP="00BD282C">
            <w:pPr>
              <w:pStyle w:val="NoSpacing"/>
            </w:pPr>
          </w:p>
        </w:tc>
      </w:tr>
    </w:tbl>
    <w:p w:rsidR="006B4C17" w:rsidRPr="008E4CDC" w:rsidRDefault="006B4C17" w:rsidP="006B4C17">
      <w:pPr>
        <w:pStyle w:val="NoSpacing"/>
        <w:rPr>
          <w:b/>
        </w:rPr>
      </w:pPr>
      <w:r w:rsidRPr="008E4CDC">
        <w:rPr>
          <w:b/>
        </w:rPr>
        <w:t>PROFESSIONAL SERVICES: PUBLIC DEFENDER</w:t>
      </w:r>
    </w:p>
    <w:p w:rsidR="006B4C17" w:rsidRPr="008E4CDC" w:rsidRDefault="006B4C17" w:rsidP="006B4C17">
      <w:pPr>
        <w:pStyle w:val="NoSpacing"/>
      </w:pPr>
    </w:p>
    <w:p w:rsidR="006B4C17" w:rsidRPr="008E4CDC" w:rsidRDefault="006B4C17" w:rsidP="006B4C17">
      <w:pPr>
        <w:pStyle w:val="NoSpacing"/>
      </w:pPr>
      <w:r w:rsidRPr="008E4CDC">
        <w:rPr>
          <w:b/>
        </w:rPr>
        <w:t>WHEREAS</w:t>
      </w:r>
      <w:r w:rsidRPr="008E4CDC">
        <w:t xml:space="preserve"> the Borough of Edgewater has a need to acquire the Professional Services for a Borough Public Defender, and</w:t>
      </w:r>
    </w:p>
    <w:p w:rsidR="006B4C17" w:rsidRPr="008E4CDC" w:rsidRDefault="006B4C17" w:rsidP="006B4C17">
      <w:pPr>
        <w:pStyle w:val="NoSpacing"/>
      </w:pPr>
    </w:p>
    <w:p w:rsidR="006B4C17" w:rsidRPr="008E4CDC" w:rsidRDefault="006B4C17" w:rsidP="006B4C17">
      <w:pPr>
        <w:pStyle w:val="NoSpacing"/>
      </w:pPr>
      <w:r w:rsidRPr="008E4CDC">
        <w:rPr>
          <w:b/>
        </w:rPr>
        <w:t>WHEREAS</w:t>
      </w:r>
      <w:r w:rsidRPr="008E4CDC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8E4CDC">
        <w:t>seq</w:t>
      </w:r>
      <w:proofErr w:type="spellEnd"/>
      <w:r w:rsidRPr="008E4CDC">
        <w:t>; and</w:t>
      </w:r>
    </w:p>
    <w:p w:rsidR="006B4C17" w:rsidRPr="008E4CDC" w:rsidRDefault="006B4C17" w:rsidP="006B4C17">
      <w:pPr>
        <w:pStyle w:val="NoSpacing"/>
      </w:pPr>
    </w:p>
    <w:p w:rsidR="006B4C17" w:rsidRPr="008E4CDC" w:rsidRDefault="006B4C17" w:rsidP="006B4C17">
      <w:pPr>
        <w:pStyle w:val="NoSpacing"/>
      </w:pPr>
      <w:r w:rsidRPr="008E4CDC">
        <w:rPr>
          <w:b/>
        </w:rPr>
        <w:t>WHEREAS</w:t>
      </w:r>
      <w:r w:rsidRPr="008E4CDC">
        <w:t xml:space="preserve"> the anticipated term of this contract is one year beginning January</w:t>
      </w:r>
      <w:r>
        <w:t xml:space="preserve"> 1</w:t>
      </w:r>
      <w:r w:rsidRPr="008E4CDC">
        <w:t>, 20</w:t>
      </w:r>
      <w:r>
        <w:t>20 and ending December 31, 2020</w:t>
      </w:r>
      <w:r w:rsidRPr="008E4CDC">
        <w:t xml:space="preserve"> ; and</w:t>
      </w:r>
    </w:p>
    <w:p w:rsidR="006B4C17" w:rsidRPr="008E4CDC" w:rsidRDefault="006B4C17" w:rsidP="006B4C17">
      <w:pPr>
        <w:pStyle w:val="NoSpacing"/>
      </w:pPr>
    </w:p>
    <w:p w:rsidR="006B4C17" w:rsidRPr="008E4CDC" w:rsidRDefault="006B4C17" w:rsidP="006B4C17">
      <w:pPr>
        <w:pStyle w:val="NoSpacing"/>
      </w:pPr>
      <w:r w:rsidRPr="008E4CDC">
        <w:rPr>
          <w:b/>
        </w:rPr>
        <w:t>NOW, THEREFORE, BE IT RESOLVED</w:t>
      </w:r>
      <w:r w:rsidRPr="008E4CDC">
        <w:t xml:space="preserve"> by the Mayor and Council that the Mayor and Borough Clerk are hereby authorized and directed to engage the services of:</w:t>
      </w:r>
    </w:p>
    <w:p w:rsidR="006B4C17" w:rsidRDefault="006B4C17" w:rsidP="006B4C17">
      <w:pPr>
        <w:pStyle w:val="NoSpacing"/>
        <w:jc w:val="center"/>
      </w:pPr>
      <w:proofErr w:type="spellStart"/>
      <w:r>
        <w:t>Seung</w:t>
      </w:r>
      <w:proofErr w:type="spellEnd"/>
      <w:r>
        <w:t xml:space="preserve"> Han (Aaron) Shin, Esq.</w:t>
      </w:r>
    </w:p>
    <w:p w:rsidR="006B4C17" w:rsidRDefault="006B4C17" w:rsidP="006B4C17">
      <w:pPr>
        <w:pStyle w:val="NoSpacing"/>
        <w:jc w:val="center"/>
      </w:pPr>
      <w:r>
        <w:t xml:space="preserve">2400 </w:t>
      </w:r>
      <w:proofErr w:type="spellStart"/>
      <w:r>
        <w:t>Lemoine</w:t>
      </w:r>
      <w:proofErr w:type="spellEnd"/>
      <w:r>
        <w:t xml:space="preserve"> Ave Suite 204</w:t>
      </w:r>
    </w:p>
    <w:p w:rsidR="006B4C17" w:rsidRPr="008E4CDC" w:rsidRDefault="006B4C17" w:rsidP="006B4C17">
      <w:pPr>
        <w:pStyle w:val="NoSpacing"/>
        <w:jc w:val="center"/>
      </w:pPr>
      <w:r>
        <w:t>Fort Lee, NJ</w:t>
      </w:r>
    </w:p>
    <w:p w:rsidR="006B4C17" w:rsidRPr="00F0643F" w:rsidRDefault="006B4C17" w:rsidP="006B4C17">
      <w:pPr>
        <w:pStyle w:val="NoSpacing"/>
        <w:rPr>
          <w:sz w:val="22"/>
        </w:rPr>
      </w:pPr>
      <w:r w:rsidRPr="008E4CDC">
        <w:tab/>
      </w:r>
      <w:r w:rsidRPr="008E4CDC">
        <w:tab/>
      </w:r>
      <w:r w:rsidRPr="008E4CDC">
        <w:tab/>
      </w:r>
      <w:r w:rsidRPr="008E4CDC">
        <w:tab/>
      </w:r>
      <w:r w:rsidRPr="008E4CDC">
        <w:tab/>
      </w:r>
    </w:p>
    <w:p w:rsidR="006B4C17" w:rsidRPr="008E4CDC" w:rsidRDefault="006B4C17" w:rsidP="006B4C17">
      <w:pPr>
        <w:pStyle w:val="NoSpacing"/>
      </w:pPr>
      <w:r w:rsidRPr="008E4CDC">
        <w:t>As Municipal Public Defender for the Year 20</w:t>
      </w:r>
      <w:r>
        <w:t>20</w:t>
      </w:r>
      <w:r w:rsidRPr="008E4CDC">
        <w:t xml:space="preserve"> at a retainer fee of $1</w:t>
      </w:r>
      <w:r>
        <w:t>1</w:t>
      </w:r>
      <w:r w:rsidRPr="008E4CDC">
        <w:t>,</w:t>
      </w:r>
      <w:r>
        <w:t>386</w:t>
      </w:r>
      <w:r w:rsidRPr="008E4CDC">
        <w:t>.</w:t>
      </w:r>
      <w:r>
        <w:t>26</w:t>
      </w:r>
      <w:r w:rsidRPr="008E4CDC">
        <w:t xml:space="preserve"> as set forth in the current salary ordinance </w:t>
      </w:r>
      <w:r>
        <w:t>1528-2015</w:t>
      </w:r>
      <w:r w:rsidRPr="008E4CDC">
        <w:t>; and</w:t>
      </w:r>
    </w:p>
    <w:p w:rsidR="006B4C17" w:rsidRPr="008E4CDC" w:rsidRDefault="006B4C17" w:rsidP="006B4C17">
      <w:pPr>
        <w:pStyle w:val="NoSpacing"/>
      </w:pPr>
      <w:r w:rsidRPr="008E4CDC">
        <w:tab/>
      </w:r>
      <w:r w:rsidRPr="008E4CDC">
        <w:tab/>
      </w:r>
      <w:r w:rsidRPr="008E4CDC">
        <w:tab/>
      </w:r>
      <w:r w:rsidRPr="008E4CDC">
        <w:tab/>
      </w:r>
    </w:p>
    <w:p w:rsidR="006B4C17" w:rsidRPr="000E6AAF" w:rsidRDefault="006B4C17" w:rsidP="006B4C17">
      <w:pPr>
        <w:pStyle w:val="NoSpacing"/>
        <w:jc w:val="both"/>
      </w:pPr>
      <w:r w:rsidRPr="00D87E25">
        <w:rPr>
          <w:b/>
        </w:rPr>
        <w:t>WHEREAS</w:t>
      </w:r>
      <w:r>
        <w:t xml:space="preserve"> I, Gregory S. Franz </w:t>
      </w:r>
      <w:proofErr w:type="spellStart"/>
      <w:r>
        <w:t>Iinterim</w:t>
      </w:r>
      <w:proofErr w:type="spellEnd"/>
      <w:r w:rsidRPr="000E6AAF">
        <w:t xml:space="preserve"> CFO do hereby certify that funding is available for the Professional Services for </w:t>
      </w:r>
      <w:r>
        <w:t>Public Defender under the current Salary Ordinance.</w:t>
      </w:r>
    </w:p>
    <w:p w:rsidR="006B4C17" w:rsidRDefault="006B4C17" w:rsidP="006B4C17">
      <w:pPr>
        <w:pStyle w:val="NoSpacing"/>
        <w:jc w:val="both"/>
      </w:pPr>
    </w:p>
    <w:p w:rsidR="006B4C17" w:rsidRPr="000E6AAF" w:rsidRDefault="006B4C17" w:rsidP="006B4C17">
      <w:pPr>
        <w:pStyle w:val="NoSpacing"/>
        <w:jc w:val="both"/>
      </w:pPr>
    </w:p>
    <w:p w:rsidR="006B4C17" w:rsidRPr="000E6AAF" w:rsidRDefault="006B4C17" w:rsidP="006B4C17">
      <w:pPr>
        <w:pStyle w:val="NoSpacing"/>
      </w:pPr>
      <w:r w:rsidRPr="000E6AAF">
        <w:t xml:space="preserve">________________________________ </w:t>
      </w:r>
    </w:p>
    <w:p w:rsidR="006B4C17" w:rsidRPr="000E6AAF" w:rsidRDefault="006B4C17" w:rsidP="006B4C17">
      <w:pPr>
        <w:pStyle w:val="NoSpacing"/>
      </w:pPr>
      <w:r>
        <w:t>Gregory S. Franz</w:t>
      </w:r>
    </w:p>
    <w:p w:rsidR="006B4C17" w:rsidRDefault="006B4C17" w:rsidP="006B4C17">
      <w:pPr>
        <w:pStyle w:val="NoSpacing"/>
      </w:pPr>
      <w:r>
        <w:t>Interim CFO</w:t>
      </w:r>
    </w:p>
    <w:p w:rsidR="006B4C17" w:rsidRPr="000E6AAF" w:rsidRDefault="006B4C17" w:rsidP="006B4C17">
      <w:pPr>
        <w:pStyle w:val="NoSpacing"/>
        <w:jc w:val="both"/>
      </w:pPr>
    </w:p>
    <w:p w:rsidR="006B4C17" w:rsidRPr="000E6AAF" w:rsidRDefault="006B4C17" w:rsidP="006B4C17">
      <w:pPr>
        <w:pStyle w:val="NoSpacing"/>
        <w:jc w:val="both"/>
      </w:pPr>
    </w:p>
    <w:p w:rsidR="006B4C17" w:rsidRPr="000E6AAF" w:rsidRDefault="006B4C17" w:rsidP="006B4C17">
      <w:pPr>
        <w:pStyle w:val="NoSpacing"/>
        <w:jc w:val="both"/>
      </w:pPr>
      <w:r w:rsidRPr="000E6AAF">
        <w:t xml:space="preserve">I hereby certify that the above Resolution was adopted by the Mayor and Council on January </w:t>
      </w:r>
      <w:r>
        <w:t>6</w:t>
      </w:r>
      <w:r w:rsidRPr="000E6AAF">
        <w:t>, 20</w:t>
      </w:r>
      <w:r>
        <w:t>20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6B4C17" w:rsidRDefault="006B4C17" w:rsidP="006B4C17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6B4C17" w:rsidRDefault="006B4C17" w:rsidP="006B4C17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6B4C17" w:rsidRDefault="006B4C17" w:rsidP="006B4C17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6B4C17" w:rsidRDefault="006B4C17" w:rsidP="006B4C17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6B4C17" w:rsidRDefault="006B4C17" w:rsidP="006B4C17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6B4C17" w:rsidRDefault="006B4C17" w:rsidP="006B4C17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6B4C17" w:rsidRPr="000E6AAF" w:rsidRDefault="006B4C17" w:rsidP="006B4C17">
      <w:pPr>
        <w:pStyle w:val="NoSpacing"/>
        <w:jc w:val="both"/>
      </w:pPr>
    </w:p>
    <w:p w:rsidR="006B4C17" w:rsidRPr="000E6AAF" w:rsidRDefault="006B4C17" w:rsidP="006B4C17">
      <w:pPr>
        <w:pStyle w:val="NoSpacing"/>
        <w:jc w:val="both"/>
      </w:pPr>
    </w:p>
    <w:p w:rsidR="00C21E62" w:rsidRDefault="00C21E62"/>
    <w:sectPr w:rsidR="00C21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17"/>
    <w:rsid w:val="006B4C17"/>
    <w:rsid w:val="00C2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1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C1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1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C1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2019-12-26T16:48:00Z</dcterms:created>
  <dcterms:modified xsi:type="dcterms:W3CDTF">2019-12-26T16:50:00Z</dcterms:modified>
</cp:coreProperties>
</file>