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CB9C402" wp14:editId="1DA1301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5176E" w:rsidP="009C1D30">
            <w:pPr>
              <w:spacing w:after="0"/>
              <w:rPr>
                <w:rFonts w:eastAsia="Times New Roman"/>
                <w:sz w:val="20"/>
                <w:szCs w:val="20"/>
              </w:rPr>
            </w:pPr>
            <w:r>
              <w:rPr>
                <w:rFonts w:eastAsia="Times New Roman"/>
                <w:sz w:val="20"/>
                <w:szCs w:val="20"/>
              </w:rPr>
              <w:t>February 21,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55176E">
              <w:rPr>
                <w:rFonts w:eastAsia="Times New Roman"/>
                <w:sz w:val="20"/>
                <w:szCs w:val="20"/>
              </w:rPr>
              <w:t>061</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5176E" w:rsidRDefault="0055176E" w:rsidP="0055176E">
      <w:pPr>
        <w:pStyle w:val="NoSpacing"/>
        <w:rPr>
          <w:b/>
        </w:rPr>
      </w:pPr>
      <w:r>
        <w:rPr>
          <w:b/>
        </w:rPr>
        <w:t>R</w:t>
      </w:r>
      <w:r w:rsidRPr="004B4183">
        <w:rPr>
          <w:b/>
        </w:rPr>
        <w:t xml:space="preserve">esolution Authorizing the Acquisition </w:t>
      </w:r>
      <w:r>
        <w:rPr>
          <w:b/>
        </w:rPr>
        <w:t>of a new por</w:t>
      </w:r>
      <w:r>
        <w:rPr>
          <w:b/>
        </w:rPr>
        <w:t>table pitchers’ mound with clay center f</w:t>
      </w:r>
      <w:r>
        <w:rPr>
          <w:b/>
        </w:rPr>
        <w:t>or the new athletic field at Veteran’s Field</w:t>
      </w:r>
    </w:p>
    <w:p w:rsidR="0055176E" w:rsidRPr="004B4183" w:rsidRDefault="0055176E" w:rsidP="0055176E">
      <w:pPr>
        <w:pStyle w:val="NoSpacing"/>
        <w:jc w:val="center"/>
        <w:rPr>
          <w:b/>
        </w:rPr>
      </w:pPr>
    </w:p>
    <w:p w:rsidR="0055176E" w:rsidRDefault="0055176E" w:rsidP="0055176E">
      <w:r w:rsidRPr="00FE3F46">
        <w:rPr>
          <w:b/>
        </w:rPr>
        <w:t>WHEREAS</w:t>
      </w:r>
      <w:r>
        <w:t xml:space="preserve"> the Borough of Edgewater needs to acquire a new portable pitchers’ mound with clay center for the new athletic field as a non-fair and open contract pursuant to the provisions of N.J.S.A. 19:44A-20.4 or 20.5; and</w:t>
      </w:r>
    </w:p>
    <w:p w:rsidR="0055176E" w:rsidRPr="00742530" w:rsidRDefault="0055176E" w:rsidP="0055176E">
      <w:pPr>
        <w:rPr>
          <w:b/>
        </w:rPr>
      </w:pPr>
      <w:r w:rsidRPr="00FE3F46">
        <w:rPr>
          <w:b/>
        </w:rPr>
        <w:t>WHEREAS</w:t>
      </w:r>
      <w:r>
        <w:t xml:space="preserve"> we attempted to find three vendors that made the same mound, which would we could not do. We received the following price quote from</w:t>
      </w:r>
      <w:r>
        <w:t xml:space="preserve"> </w:t>
      </w:r>
      <w:r w:rsidRPr="00742530">
        <w:rPr>
          <w:b/>
        </w:rPr>
        <w:t>Sportsfield Specilaties for $18,510.00</w:t>
      </w:r>
    </w:p>
    <w:p w:rsidR="0055176E" w:rsidRDefault="0055176E" w:rsidP="0055176E">
      <w:pPr>
        <w:pStyle w:val="NoSpacing"/>
      </w:pPr>
      <w:bookmarkStart w:id="0" w:name="_GoBack"/>
      <w:bookmarkEnd w:id="0"/>
      <w:r w:rsidRPr="00FE3F46">
        <w:rPr>
          <w:b/>
        </w:rPr>
        <w:t>WHEREAS,</w:t>
      </w:r>
      <w:r>
        <w:t xml:space="preserve"> the Purchasing Agent recommends the award to Sportsfield Specialties; located at 41155 State Highway 10, PO Box 231, Delhi, NY 13753, and</w:t>
      </w:r>
    </w:p>
    <w:p w:rsidR="0055176E" w:rsidRDefault="0055176E" w:rsidP="0055176E">
      <w:pPr>
        <w:pStyle w:val="NoSpacing"/>
      </w:pPr>
    </w:p>
    <w:p w:rsidR="0055176E" w:rsidRDefault="0055176E" w:rsidP="0055176E">
      <w:pPr>
        <w:pStyle w:val="NoSpacing"/>
      </w:pPr>
      <w:r w:rsidRPr="00FE3F46">
        <w:rPr>
          <w:b/>
        </w:rPr>
        <w:t>WHEREAS,</w:t>
      </w:r>
      <w:r>
        <w:t xml:space="preserve"> the Purchasing Agent has determined the value of this service will exceed the total of $17,500; and </w:t>
      </w:r>
    </w:p>
    <w:p w:rsidR="0055176E" w:rsidRDefault="0055176E" w:rsidP="0055176E">
      <w:pPr>
        <w:pStyle w:val="NoSpacing"/>
      </w:pPr>
    </w:p>
    <w:p w:rsidR="0055176E" w:rsidRDefault="0055176E" w:rsidP="0055176E">
      <w:r w:rsidRPr="00FE3F46">
        <w:rPr>
          <w:b/>
        </w:rPr>
        <w:t>WHEREAS</w:t>
      </w:r>
      <w:r>
        <w:t>, the quotes were not solicited through receipt of sealed quotes, therefore the requirements of N.J.S.A. 19:44A-20-5 (Anti Pay-to-Play Legislation) apply; and</w:t>
      </w:r>
    </w:p>
    <w:p w:rsidR="0055176E" w:rsidRDefault="0055176E" w:rsidP="0055176E">
      <w:r w:rsidRPr="00FE3F46">
        <w:rPr>
          <w:b/>
        </w:rPr>
        <w:t>WHEREAS</w:t>
      </w:r>
      <w:r>
        <w:t>, Sportsfield Specialties has completed and submitted a Business Entity Disclosure Certification, which certified that</w:t>
      </w:r>
      <w:r w:rsidRPr="00742530">
        <w:t xml:space="preserve"> </w:t>
      </w:r>
      <w:r>
        <w:t xml:space="preserve">Sportsfield Specialties has not made any reportable contributions to a political or candidate committee in the Borough of Edgewater in the previous one year, and that the contract will prohibit Sportsfield Specialties from making any reportable contributions through the term of the contact, and </w:t>
      </w:r>
    </w:p>
    <w:p w:rsidR="0055176E" w:rsidRDefault="0055176E" w:rsidP="0055176E">
      <w:r w:rsidRPr="00FE3F46">
        <w:rPr>
          <w:b/>
        </w:rPr>
        <w:t>Now Therefore Be it Resolved</w:t>
      </w:r>
      <w:r>
        <w:t xml:space="preserve"> by the Edgewater Mayor and Council hereby authorizes Sportsfield Specialties to supply and install a new portable pitcher’s mound for the new athletic field for a sum not to exceed Eighteen thousand, five hundred and ten dollars ($18,510.00); and</w:t>
      </w:r>
    </w:p>
    <w:p w:rsidR="0055176E" w:rsidRDefault="0055176E" w:rsidP="0055176E">
      <w:r w:rsidRPr="00FE3F46">
        <w:rPr>
          <w:b/>
        </w:rPr>
        <w:lastRenderedPageBreak/>
        <w:t>Be It Further Resolved</w:t>
      </w:r>
      <w:r>
        <w:t xml:space="preserve"> that, I Sercan Zoklu, the Chief Financial Officer, hereby certifies that funds are available for this purchase in the Capital Ordinance #1474.</w:t>
      </w:r>
    </w:p>
    <w:p w:rsidR="0055176E" w:rsidRDefault="0055176E" w:rsidP="0055176E"/>
    <w:p w:rsidR="0055176E" w:rsidRDefault="0055176E" w:rsidP="0055176E">
      <w:pPr>
        <w:pStyle w:val="NoSpacing"/>
      </w:pPr>
      <w:r>
        <w:t>_______________________</w:t>
      </w:r>
    </w:p>
    <w:p w:rsidR="0055176E" w:rsidRDefault="0055176E" w:rsidP="0055176E">
      <w:pPr>
        <w:pStyle w:val="NoSpacing"/>
      </w:pPr>
      <w:r>
        <w:t>Sercan Zoklu</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55176E">
        <w:rPr>
          <w:rFonts w:eastAsia="Times New Roman"/>
          <w:b/>
          <w:bCs/>
          <w:sz w:val="20"/>
          <w:szCs w:val="20"/>
        </w:rPr>
        <w:t>February 21</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55176E">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55176E"/>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4EDBB-4A1A-438A-A814-99515C83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2017-02-16T14:45:00Z</dcterms:created>
  <dcterms:modified xsi:type="dcterms:W3CDTF">2017-02-16T14:45:00Z</dcterms:modified>
</cp:coreProperties>
</file>