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ook w:val="0000" w:firstRow="0" w:lastRow="0" w:firstColumn="0" w:lastColumn="0" w:noHBand="0" w:noVBand="0"/>
      </w:tblPr>
      <w:tblGrid>
        <w:gridCol w:w="2056"/>
        <w:gridCol w:w="676"/>
        <w:gridCol w:w="638"/>
        <w:gridCol w:w="1216"/>
        <w:gridCol w:w="1977"/>
        <w:gridCol w:w="293"/>
        <w:gridCol w:w="1424"/>
        <w:gridCol w:w="1309"/>
        <w:gridCol w:w="1391"/>
      </w:tblGrid>
      <w:tr w:rsidR="0027692F" w:rsidRPr="0027692F" w:rsidTr="005A4E51">
        <w:trPr>
          <w:trHeight w:val="390"/>
        </w:trPr>
        <w:tc>
          <w:tcPr>
            <w:tcW w:w="2056"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1840"/>
            </w:tblGrid>
            <w:tr w:rsidR="0027692F" w:rsidRPr="0027692F" w:rsidTr="005A4E51">
              <w:trPr>
                <w:trHeight w:val="390"/>
                <w:tblCellSpacing w:w="0" w:type="dxa"/>
              </w:trPr>
              <w:tc>
                <w:tcPr>
                  <w:tcW w:w="1840"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bookmarkStart w:id="0" w:name="_GoBack"/>
                  <w:bookmarkEnd w:id="0"/>
                  <w:r w:rsidRPr="0027692F">
                    <w:rPr>
                      <w:rFonts w:eastAsia="Times New Roman"/>
                      <w:noProof/>
                      <w:sz w:val="20"/>
                      <w:szCs w:val="20"/>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p w:rsidR="0027692F" w:rsidRPr="0027692F" w:rsidRDefault="0027692F" w:rsidP="0027692F">
                  <w:pPr>
                    <w:spacing w:after="0"/>
                    <w:rPr>
                      <w:rFonts w:eastAsia="Times New Roman"/>
                      <w:sz w:val="20"/>
                      <w:szCs w:val="20"/>
                    </w:rPr>
                  </w:pPr>
                </w:p>
                <w:p w:rsidR="0027692F" w:rsidRPr="0027692F" w:rsidRDefault="0027692F" w:rsidP="0027692F">
                  <w:pPr>
                    <w:spacing w:after="0"/>
                    <w:rPr>
                      <w:rFonts w:eastAsia="Times New Roman"/>
                      <w:sz w:val="20"/>
                      <w:szCs w:val="20"/>
                    </w:rPr>
                  </w:pPr>
                </w:p>
              </w:tc>
            </w:tr>
          </w:tbl>
          <w:p w:rsidR="0027692F" w:rsidRPr="0027692F" w:rsidRDefault="0027692F" w:rsidP="0027692F">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4910" w:type="dxa"/>
            <w:gridSpan w:val="4"/>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r w:rsidRPr="0027692F">
              <w:rPr>
                <w:rFonts w:ascii="Arial Black" w:eastAsia="Times New Roman" w:hAnsi="Arial Black"/>
                <w:b/>
                <w:bCs/>
                <w:szCs w:val="20"/>
              </w:rPr>
              <w:t>BOROUGH OF EDGEWATER</w:t>
            </w:r>
          </w:p>
        </w:tc>
        <w:tc>
          <w:tcPr>
            <w:tcW w:w="1309"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b/>
                <w:bCs/>
                <w:sz w:val="20"/>
                <w:szCs w:val="20"/>
              </w:rPr>
            </w:pPr>
          </w:p>
        </w:tc>
      </w:tr>
      <w:tr w:rsidR="0027692F" w:rsidRPr="0027692F" w:rsidTr="005A4E51">
        <w:trPr>
          <w:trHeight w:val="390"/>
        </w:trPr>
        <w:tc>
          <w:tcPr>
            <w:tcW w:w="2056"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r w:rsidRPr="0027692F">
              <w:rPr>
                <w:rFonts w:ascii="Arial Black" w:eastAsia="Times New Roman" w:hAnsi="Arial Black"/>
                <w:b/>
                <w:bCs/>
                <w:szCs w:val="20"/>
              </w:rPr>
              <w:t>RESOLUTION</w:t>
            </w: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b/>
                <w:bCs/>
                <w:sz w:val="20"/>
                <w:szCs w:val="20"/>
              </w:rPr>
            </w:pPr>
          </w:p>
        </w:tc>
      </w:tr>
      <w:tr w:rsidR="0027692F" w:rsidRPr="0027692F" w:rsidTr="005A4E51">
        <w:trPr>
          <w:trHeight w:val="612"/>
        </w:trPr>
        <w:tc>
          <w:tcPr>
            <w:tcW w:w="2056"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676"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b/>
                <w:bCs/>
                <w:sz w:val="20"/>
                <w:szCs w:val="20"/>
              </w:rPr>
            </w:pPr>
          </w:p>
        </w:tc>
      </w:tr>
      <w:tr w:rsidR="0027692F" w:rsidRPr="0027692F" w:rsidTr="005A4E51">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27692F" w:rsidRPr="0027692F" w:rsidRDefault="0027692F" w:rsidP="0027692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27692F" w:rsidRPr="0027692F" w:rsidRDefault="0027692F" w:rsidP="0027692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27692F" w:rsidRPr="0027692F" w:rsidRDefault="0027692F" w:rsidP="0027692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27692F" w:rsidRPr="0027692F" w:rsidRDefault="0027692F" w:rsidP="0027692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27692F" w:rsidRPr="0027692F" w:rsidRDefault="0027692F" w:rsidP="0027692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b/>
                <w:bCs/>
                <w:smallCaps/>
                <w:sz w:val="20"/>
                <w:szCs w:val="20"/>
              </w:rPr>
            </w:pPr>
            <w:r w:rsidRPr="0027692F">
              <w:rPr>
                <w:rFonts w:ascii="Times New Roman" w:eastAsia="Times New Roman" w:hAnsi="Times New Roman" w:cs="Times New Roman"/>
                <w:b/>
                <w:bCs/>
                <w:smallCaps/>
                <w:sz w:val="20"/>
                <w:szCs w:val="20"/>
              </w:rPr>
              <w:t>Date:</w:t>
            </w:r>
          </w:p>
        </w:tc>
        <w:tc>
          <w:tcPr>
            <w:tcW w:w="2700" w:type="dxa"/>
            <w:gridSpan w:val="2"/>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 xml:space="preserve">September </w:t>
            </w:r>
            <w:r>
              <w:rPr>
                <w:rFonts w:ascii="Times New Roman" w:eastAsia="Times New Roman" w:hAnsi="Times New Roman" w:cs="Times New Roman"/>
                <w:sz w:val="22"/>
                <w:szCs w:val="22"/>
              </w:rPr>
              <w:t>24</w:t>
            </w:r>
            <w:r w:rsidRPr="0027692F">
              <w:rPr>
                <w:rFonts w:ascii="Times New Roman" w:eastAsia="Times New Roman" w:hAnsi="Times New Roman" w:cs="Times New Roman"/>
                <w:sz w:val="22"/>
                <w:szCs w:val="22"/>
              </w:rPr>
              <w:t>, 2014</w:t>
            </w:r>
          </w:p>
        </w:tc>
      </w:tr>
      <w:tr w:rsidR="0027692F" w:rsidRPr="0027692F" w:rsidTr="005A4E51">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b/>
                <w:smallCaps/>
                <w:sz w:val="22"/>
                <w:szCs w:val="22"/>
              </w:rPr>
            </w:pPr>
            <w:r w:rsidRPr="0027692F">
              <w:rPr>
                <w:rFonts w:eastAsia="Times New Roman"/>
                <w:b/>
                <w:smallCaps/>
                <w:sz w:val="22"/>
                <w:szCs w:val="22"/>
              </w:rPr>
              <w:t>HENWOOD</w:t>
            </w:r>
          </w:p>
        </w:tc>
        <w:tc>
          <w:tcPr>
            <w:tcW w:w="676"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b/>
                <w:bCs/>
                <w:smallCaps/>
                <w:sz w:val="20"/>
                <w:szCs w:val="20"/>
              </w:rPr>
            </w:pPr>
            <w:r w:rsidRPr="0027692F">
              <w:rPr>
                <w:rFonts w:ascii="Times New Roman" w:eastAsia="Times New Roman" w:hAnsi="Times New Roman" w:cs="Times New Roman"/>
                <w:b/>
                <w:bCs/>
                <w:smallCaps/>
                <w:sz w:val="20"/>
                <w:szCs w:val="20"/>
              </w:rPr>
              <w:t>Resolution No.</w:t>
            </w:r>
          </w:p>
        </w:tc>
        <w:tc>
          <w:tcPr>
            <w:tcW w:w="1309"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2014-</w:t>
            </w:r>
            <w:r w:rsidR="00295778">
              <w:rPr>
                <w:rFonts w:ascii="Times New Roman" w:eastAsia="Times New Roman" w:hAnsi="Times New Roman" w:cs="Times New Roman"/>
                <w:sz w:val="22"/>
                <w:szCs w:val="22"/>
              </w:rPr>
              <w:t>232</w:t>
            </w:r>
          </w:p>
        </w:tc>
        <w:tc>
          <w:tcPr>
            <w:tcW w:w="1391"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0"/>
                <w:szCs w:val="20"/>
              </w:rPr>
            </w:pPr>
            <w:r w:rsidRPr="0027692F">
              <w:rPr>
                <w:rFonts w:ascii="Times New Roman" w:eastAsia="Times New Roman" w:hAnsi="Times New Roman" w:cs="Times New Roman"/>
                <w:sz w:val="20"/>
                <w:szCs w:val="20"/>
              </w:rPr>
              <w:t> </w:t>
            </w:r>
          </w:p>
        </w:tc>
      </w:tr>
      <w:tr w:rsidR="0027692F" w:rsidRPr="0027692F" w:rsidTr="005A4E51">
        <w:trPr>
          <w:trHeight w:val="350"/>
        </w:trPr>
        <w:tc>
          <w:tcPr>
            <w:tcW w:w="2056" w:type="dxa"/>
            <w:tcBorders>
              <w:top w:val="nil"/>
              <w:left w:val="single" w:sz="8" w:space="0" w:color="auto"/>
              <w:bottom w:val="nil"/>
              <w:right w:val="single" w:sz="8" w:space="0" w:color="auto"/>
            </w:tcBorders>
            <w:shd w:val="clear" w:color="auto" w:fill="auto"/>
            <w:noWrap/>
            <w:vAlign w:val="bottom"/>
          </w:tcPr>
          <w:p w:rsidR="0027692F" w:rsidRPr="0027692F" w:rsidRDefault="0027692F" w:rsidP="0027692F">
            <w:pPr>
              <w:spacing w:after="0"/>
              <w:rPr>
                <w:rFonts w:eastAsia="Times New Roman"/>
                <w:b/>
                <w:smallCaps/>
              </w:rPr>
            </w:pPr>
            <w:r w:rsidRPr="0027692F">
              <w:rPr>
                <w:rFonts w:eastAsia="Times New Roman"/>
                <w:b/>
                <w:smallCaps/>
              </w:rPr>
              <w:t>DORAN</w:t>
            </w:r>
          </w:p>
        </w:tc>
        <w:tc>
          <w:tcPr>
            <w:tcW w:w="676"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b/>
                <w:bCs/>
                <w:smallCaps/>
                <w:sz w:val="20"/>
                <w:szCs w:val="20"/>
              </w:rPr>
            </w:pPr>
            <w:r w:rsidRPr="0027692F">
              <w:rPr>
                <w:rFonts w:ascii="Times New Roman" w:eastAsia="Times New Roman" w:hAnsi="Times New Roman" w:cs="Times New Roman"/>
                <w:b/>
                <w:bCs/>
                <w:smallCaps/>
                <w:sz w:val="20"/>
                <w:szCs w:val="20"/>
              </w:rPr>
              <w:t>Introduced by:</w:t>
            </w:r>
          </w:p>
        </w:tc>
        <w:tc>
          <w:tcPr>
            <w:tcW w:w="2700" w:type="dxa"/>
            <w:gridSpan w:val="2"/>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2"/>
                <w:szCs w:val="22"/>
              </w:rPr>
            </w:pPr>
          </w:p>
        </w:tc>
      </w:tr>
      <w:tr w:rsidR="0027692F" w:rsidRPr="0027692F" w:rsidTr="005A4E51">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b/>
                <w:smallCaps/>
              </w:rPr>
            </w:pPr>
          </w:p>
          <w:p w:rsidR="0027692F" w:rsidRPr="0027692F" w:rsidRDefault="0027692F" w:rsidP="0027692F">
            <w:pPr>
              <w:spacing w:after="0"/>
              <w:rPr>
                <w:rFonts w:eastAsia="Times New Roman"/>
                <w:b/>
                <w:smallCaps/>
              </w:rPr>
            </w:pPr>
            <w:r w:rsidRPr="0027692F">
              <w:rPr>
                <w:rFonts w:eastAsia="Times New Roman"/>
                <w:b/>
                <w:smallCaps/>
              </w:rPr>
              <w:t>MONTE</w:t>
            </w:r>
          </w:p>
        </w:tc>
        <w:tc>
          <w:tcPr>
            <w:tcW w:w="676" w:type="dxa"/>
            <w:tcBorders>
              <w:top w:val="single" w:sz="4" w:space="0" w:color="auto"/>
              <w:left w:val="nil"/>
              <w:bottom w:val="single" w:sz="4" w:space="0" w:color="auto"/>
              <w:right w:val="nil"/>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b/>
                <w:bCs/>
                <w:smallCaps/>
                <w:sz w:val="20"/>
                <w:szCs w:val="20"/>
                <w:u w:val="single"/>
              </w:rPr>
            </w:pPr>
          </w:p>
        </w:tc>
        <w:tc>
          <w:tcPr>
            <w:tcW w:w="1309"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0"/>
                <w:szCs w:val="20"/>
              </w:rPr>
            </w:pPr>
            <w:r w:rsidRPr="0027692F">
              <w:rPr>
                <w:rFonts w:ascii="Times New Roman" w:eastAsia="Times New Roman" w:hAnsi="Times New Roman" w:cs="Times New Roman"/>
                <w:sz w:val="20"/>
                <w:szCs w:val="20"/>
              </w:rPr>
              <w:t> </w:t>
            </w:r>
          </w:p>
        </w:tc>
      </w:tr>
      <w:tr w:rsidR="0027692F" w:rsidRPr="0027692F" w:rsidTr="005A4E51">
        <w:trPr>
          <w:trHeight w:val="332"/>
        </w:trPr>
        <w:tc>
          <w:tcPr>
            <w:tcW w:w="2056" w:type="dxa"/>
            <w:tcBorders>
              <w:top w:val="nil"/>
              <w:left w:val="single" w:sz="8" w:space="0" w:color="auto"/>
              <w:bottom w:val="nil"/>
              <w:right w:val="single" w:sz="8" w:space="0" w:color="auto"/>
            </w:tcBorders>
            <w:shd w:val="clear" w:color="auto" w:fill="auto"/>
            <w:noWrap/>
            <w:vAlign w:val="bottom"/>
          </w:tcPr>
          <w:p w:rsidR="0027692F" w:rsidRPr="0027692F" w:rsidRDefault="0027692F" w:rsidP="0027692F">
            <w:pPr>
              <w:spacing w:after="0"/>
              <w:rPr>
                <w:rFonts w:eastAsia="Times New Roman"/>
                <w:b/>
                <w:smallCaps/>
                <w:sz w:val="32"/>
                <w:szCs w:val="32"/>
              </w:rPr>
            </w:pPr>
            <w:r w:rsidRPr="0027692F">
              <w:rPr>
                <w:rFonts w:eastAsia="Times New Roman"/>
                <w:b/>
                <w:smallCaps/>
                <w:sz w:val="32"/>
                <w:szCs w:val="32"/>
              </w:rPr>
              <w:t>vidal</w:t>
            </w:r>
          </w:p>
        </w:tc>
        <w:tc>
          <w:tcPr>
            <w:tcW w:w="676"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b/>
                <w:bCs/>
                <w:smallCaps/>
                <w:sz w:val="20"/>
                <w:szCs w:val="20"/>
              </w:rPr>
            </w:pPr>
            <w:r w:rsidRPr="0027692F">
              <w:rPr>
                <w:rFonts w:ascii="Times New Roman" w:eastAsia="Times New Roman" w:hAnsi="Times New Roman" w:cs="Times New Roman"/>
                <w:b/>
                <w:bCs/>
                <w:smallCaps/>
                <w:sz w:val="20"/>
                <w:szCs w:val="20"/>
              </w:rPr>
              <w:t>Second by:</w:t>
            </w:r>
          </w:p>
        </w:tc>
        <w:tc>
          <w:tcPr>
            <w:tcW w:w="2700" w:type="dxa"/>
            <w:gridSpan w:val="2"/>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 </w:t>
            </w:r>
          </w:p>
          <w:p w:rsidR="0027692F" w:rsidRPr="0027692F" w:rsidRDefault="0027692F" w:rsidP="0027692F">
            <w:pPr>
              <w:spacing w:after="0"/>
              <w:rPr>
                <w:rFonts w:ascii="Times New Roman" w:eastAsia="Times New Roman" w:hAnsi="Times New Roman" w:cs="Times New Roman"/>
                <w:sz w:val="22"/>
                <w:szCs w:val="22"/>
              </w:rPr>
            </w:pPr>
          </w:p>
        </w:tc>
      </w:tr>
      <w:tr w:rsidR="0027692F" w:rsidRPr="0027692F" w:rsidTr="005A4E51">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b/>
                <w:smallCaps/>
                <w:sz w:val="20"/>
                <w:szCs w:val="20"/>
              </w:rPr>
            </w:pPr>
            <w:smartTag w:uri="urn:schemas-microsoft-com:office:smarttags" w:element="place">
              <w:smartTag w:uri="urn:schemas-microsoft-com:office:smarttags" w:element="country-region">
                <w:r w:rsidRPr="0027692F">
                  <w:rPr>
                    <w:rFonts w:eastAsia="Times New Roman"/>
                    <w:b/>
                    <w:smallCaps/>
                    <w:sz w:val="22"/>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b/>
                <w:bCs/>
                <w:sz w:val="22"/>
                <w:szCs w:val="22"/>
                <w:u w:val="single"/>
              </w:rPr>
            </w:pPr>
          </w:p>
        </w:tc>
        <w:tc>
          <w:tcPr>
            <w:tcW w:w="1309"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27692F" w:rsidRPr="0027692F" w:rsidRDefault="0027692F" w:rsidP="0027692F">
            <w:pPr>
              <w:spacing w:after="0"/>
              <w:rPr>
                <w:rFonts w:ascii="Times New Roman" w:eastAsia="Times New Roman" w:hAnsi="Times New Roman" w:cs="Times New Roman"/>
                <w:sz w:val="20"/>
                <w:szCs w:val="20"/>
              </w:rPr>
            </w:pPr>
            <w:r w:rsidRPr="0027692F">
              <w:rPr>
                <w:rFonts w:ascii="Times New Roman" w:eastAsia="Times New Roman" w:hAnsi="Times New Roman" w:cs="Times New Roman"/>
                <w:sz w:val="20"/>
                <w:szCs w:val="20"/>
              </w:rPr>
              <w:t> </w:t>
            </w:r>
          </w:p>
        </w:tc>
      </w:tr>
      <w:tr w:rsidR="0027692F" w:rsidRPr="0027692F" w:rsidTr="005A4E51">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27692F" w:rsidRPr="0027692F" w:rsidRDefault="0027692F" w:rsidP="0027692F">
            <w:pPr>
              <w:spacing w:after="0"/>
              <w:rPr>
                <w:rFonts w:eastAsia="Times New Roman"/>
                <w:b/>
                <w:smallCaps/>
                <w:sz w:val="20"/>
                <w:szCs w:val="20"/>
              </w:rPr>
            </w:pPr>
            <w:r w:rsidRPr="0027692F">
              <w:rPr>
                <w:rFonts w:eastAsia="Times New Roman"/>
                <w:b/>
                <w:smallCaps/>
                <w:szCs w:val="20"/>
              </w:rPr>
              <w:t>BARTOLOMEO</w:t>
            </w:r>
          </w:p>
        </w:tc>
        <w:tc>
          <w:tcPr>
            <w:tcW w:w="676" w:type="dxa"/>
            <w:tcBorders>
              <w:top w:val="nil"/>
              <w:left w:val="nil"/>
              <w:bottom w:val="single" w:sz="8" w:space="0" w:color="auto"/>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27692F" w:rsidRPr="0027692F" w:rsidRDefault="0027692F" w:rsidP="0027692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27692F" w:rsidRPr="0027692F" w:rsidRDefault="0027692F" w:rsidP="0027692F">
            <w:pPr>
              <w:spacing w:after="0"/>
              <w:rPr>
                <w:rFonts w:eastAsia="Times New Roman"/>
                <w:sz w:val="20"/>
                <w:szCs w:val="20"/>
              </w:rPr>
            </w:pPr>
          </w:p>
        </w:tc>
      </w:tr>
    </w:tbl>
    <w:p w:rsidR="0027692F" w:rsidRPr="0027692F" w:rsidRDefault="0027692F" w:rsidP="0027692F">
      <w:pPr>
        <w:spacing w:after="0"/>
        <w:jc w:val="center"/>
        <w:rPr>
          <w:rFonts w:ascii="Times New Roman" w:eastAsia="Calibri" w:hAnsi="Times New Roman" w:cs="Times New Roman"/>
        </w:rPr>
      </w:pPr>
    </w:p>
    <w:p w:rsidR="0027692F" w:rsidRDefault="0027692F" w:rsidP="0027692F">
      <w:pPr>
        <w:spacing w:after="0"/>
        <w:ind w:left="-90" w:hanging="540"/>
        <w:jc w:val="both"/>
        <w:rPr>
          <w:rFonts w:eastAsia="Calibri"/>
        </w:rPr>
      </w:pPr>
      <w:r w:rsidRPr="0027692F">
        <w:rPr>
          <w:rFonts w:ascii="Times New Roman" w:eastAsia="Calibri" w:hAnsi="Times New Roman" w:cs="Times New Roman"/>
          <w:sz w:val="22"/>
          <w:szCs w:val="22"/>
        </w:rPr>
        <w:tab/>
      </w:r>
      <w:r w:rsidRPr="0027692F">
        <w:rPr>
          <w:rFonts w:eastAsia="Calibri"/>
          <w:b/>
        </w:rPr>
        <w:t>WHEREAS</w:t>
      </w:r>
      <w:r>
        <w:rPr>
          <w:rFonts w:eastAsia="Calibri"/>
        </w:rPr>
        <w:t xml:space="preserve"> the Borough of Edgewater has received solicited bids for the re-bid of the Veterans Field Site Remediation; and</w:t>
      </w:r>
    </w:p>
    <w:p w:rsidR="0027692F" w:rsidRDefault="0027692F" w:rsidP="0027692F">
      <w:pPr>
        <w:spacing w:after="0"/>
        <w:ind w:left="-90" w:hanging="540"/>
        <w:jc w:val="both"/>
        <w:rPr>
          <w:rFonts w:eastAsia="Calibri"/>
        </w:rPr>
      </w:pPr>
    </w:p>
    <w:p w:rsidR="005E1199" w:rsidRDefault="0027692F" w:rsidP="0027692F">
      <w:pPr>
        <w:spacing w:after="0"/>
        <w:ind w:left="-90" w:firstLine="90"/>
        <w:jc w:val="both"/>
        <w:rPr>
          <w:rFonts w:eastAsia="Calibri"/>
        </w:rPr>
      </w:pPr>
      <w:r w:rsidRPr="0027692F">
        <w:rPr>
          <w:rFonts w:eastAsia="Calibri"/>
          <w:b/>
        </w:rPr>
        <w:t>WHEREAS</w:t>
      </w:r>
      <w:r>
        <w:rPr>
          <w:rFonts w:eastAsia="Calibri"/>
        </w:rPr>
        <w:t xml:space="preserve"> consistent with the New Jersey Local Public Contract Law, N.J.S.A. 40A:11-</w:t>
      </w:r>
      <w:r w:rsidR="005E1199">
        <w:rPr>
          <w:rFonts w:eastAsia="Calibri"/>
        </w:rPr>
        <w:t xml:space="preserve"> </w:t>
      </w:r>
    </w:p>
    <w:p w:rsidR="005E1199" w:rsidRDefault="0027692F" w:rsidP="0027692F">
      <w:pPr>
        <w:spacing w:after="0"/>
        <w:ind w:left="-90" w:firstLine="90"/>
        <w:jc w:val="both"/>
        <w:rPr>
          <w:rFonts w:eastAsia="Calibri"/>
        </w:rPr>
      </w:pPr>
      <w:r>
        <w:rPr>
          <w:rFonts w:eastAsia="Calibri"/>
        </w:rPr>
        <w:t xml:space="preserve">1 et seq., the Borough of Edgewater did publicly solicit bids for said project under the </w:t>
      </w:r>
      <w:r w:rsidR="005E1199">
        <w:rPr>
          <w:rFonts w:eastAsia="Calibri"/>
        </w:rPr>
        <w:t xml:space="preserve">  </w:t>
      </w:r>
    </w:p>
    <w:p w:rsidR="0027692F" w:rsidRDefault="0027692F" w:rsidP="0027692F">
      <w:pPr>
        <w:spacing w:after="0"/>
        <w:ind w:left="-90" w:firstLine="90"/>
        <w:jc w:val="both"/>
        <w:rPr>
          <w:rFonts w:eastAsia="Calibri"/>
        </w:rPr>
      </w:pPr>
      <w:proofErr w:type="gramStart"/>
      <w:r>
        <w:rPr>
          <w:rFonts w:eastAsia="Calibri"/>
        </w:rPr>
        <w:t>title</w:t>
      </w:r>
      <w:proofErr w:type="gramEnd"/>
      <w:r>
        <w:rPr>
          <w:rFonts w:eastAsia="Calibri"/>
        </w:rPr>
        <w:t xml:space="preserve"> “Veterans Field Site Remediation” issued </w:t>
      </w:r>
      <w:r w:rsidR="00485B38">
        <w:rPr>
          <w:rFonts w:eastAsia="Calibri"/>
        </w:rPr>
        <w:t>o</w:t>
      </w:r>
      <w:r>
        <w:rPr>
          <w:rFonts w:eastAsia="Calibri"/>
        </w:rPr>
        <w:t xml:space="preserve">n </w:t>
      </w:r>
      <w:r w:rsidR="00485B38">
        <w:rPr>
          <w:rFonts w:eastAsia="Calibri"/>
        </w:rPr>
        <w:t xml:space="preserve">August 29, </w:t>
      </w:r>
      <w:r>
        <w:rPr>
          <w:rFonts w:eastAsia="Calibri"/>
        </w:rPr>
        <w:t>2014; and</w:t>
      </w:r>
    </w:p>
    <w:p w:rsidR="00485B38" w:rsidRDefault="00485B38" w:rsidP="0027692F">
      <w:pPr>
        <w:spacing w:after="0"/>
        <w:ind w:left="-90" w:firstLine="90"/>
        <w:jc w:val="both"/>
        <w:rPr>
          <w:rFonts w:eastAsia="Calibri"/>
        </w:rPr>
      </w:pPr>
    </w:p>
    <w:p w:rsidR="00485B38" w:rsidRDefault="00485B38" w:rsidP="0027692F">
      <w:pPr>
        <w:spacing w:after="0"/>
        <w:ind w:left="-90" w:firstLine="90"/>
        <w:jc w:val="both"/>
        <w:rPr>
          <w:rFonts w:eastAsia="Calibri"/>
        </w:rPr>
      </w:pPr>
      <w:r w:rsidRPr="008431BA">
        <w:rPr>
          <w:rFonts w:eastAsia="Calibri"/>
          <w:b/>
        </w:rPr>
        <w:t>WHEREAS</w:t>
      </w:r>
      <w:r>
        <w:rPr>
          <w:rFonts w:eastAsia="Calibri"/>
        </w:rPr>
        <w:t xml:space="preserve"> in response to said solicitation, eight (8) bids were received; and</w:t>
      </w:r>
    </w:p>
    <w:p w:rsidR="00485B38" w:rsidRDefault="00485B38" w:rsidP="0027692F">
      <w:pPr>
        <w:spacing w:after="0"/>
        <w:ind w:left="-90" w:firstLine="90"/>
        <w:jc w:val="both"/>
        <w:rPr>
          <w:rFonts w:eastAsia="Calibri"/>
        </w:rPr>
      </w:pPr>
    </w:p>
    <w:p w:rsidR="00485B38" w:rsidRDefault="00485B38" w:rsidP="008431BA">
      <w:pPr>
        <w:spacing w:after="0"/>
        <w:ind w:left="-90"/>
        <w:jc w:val="both"/>
        <w:rPr>
          <w:rFonts w:eastAsia="Calibri"/>
        </w:rPr>
      </w:pPr>
      <w:r w:rsidRPr="008431BA">
        <w:rPr>
          <w:rFonts w:eastAsia="Calibri"/>
          <w:b/>
        </w:rPr>
        <w:t>WHEREAS</w:t>
      </w:r>
      <w:r>
        <w:rPr>
          <w:rFonts w:eastAsia="Calibri"/>
        </w:rPr>
        <w:t xml:space="preserve"> the lowest base bid of $2,024,100.00 was subm</w:t>
      </w:r>
      <w:r w:rsidR="005B7216">
        <w:rPr>
          <w:rFonts w:eastAsia="Calibri"/>
        </w:rPr>
        <w:t xml:space="preserve">itted by Enterprise Network Resolutions </w:t>
      </w:r>
      <w:r>
        <w:rPr>
          <w:rFonts w:eastAsia="Calibri"/>
        </w:rPr>
        <w:t>Contr</w:t>
      </w:r>
      <w:r w:rsidR="005B7216">
        <w:rPr>
          <w:rFonts w:eastAsia="Calibri"/>
        </w:rPr>
        <w:t xml:space="preserve">acting LLC, maintaining offices </w:t>
      </w:r>
      <w:r w:rsidR="005B7216" w:rsidRPr="00FF11F0">
        <w:rPr>
          <w:rFonts w:eastAsia="Calibri"/>
        </w:rPr>
        <w:t>at</w:t>
      </w:r>
      <w:r w:rsidR="00FF11F0" w:rsidRPr="00FF11F0">
        <w:rPr>
          <w:rFonts w:eastAsia="Calibri"/>
        </w:rPr>
        <w:t xml:space="preserve"> 874 Piney Hollow Road</w:t>
      </w:r>
      <w:r w:rsidRPr="00FF11F0">
        <w:rPr>
          <w:rFonts w:eastAsia="Calibri"/>
        </w:rPr>
        <w:t>, Winslow, NJ  08095; and</w:t>
      </w:r>
    </w:p>
    <w:p w:rsidR="00485B38" w:rsidRDefault="00485B38" w:rsidP="0027692F">
      <w:pPr>
        <w:spacing w:after="0"/>
        <w:ind w:left="-90" w:firstLine="90"/>
        <w:jc w:val="both"/>
        <w:rPr>
          <w:rFonts w:eastAsia="Calibri"/>
        </w:rPr>
      </w:pPr>
    </w:p>
    <w:p w:rsidR="00485B38" w:rsidRDefault="00485B38" w:rsidP="0027692F">
      <w:pPr>
        <w:spacing w:after="0"/>
        <w:ind w:left="-90" w:firstLine="90"/>
        <w:jc w:val="both"/>
        <w:rPr>
          <w:rFonts w:eastAsia="Calibri"/>
        </w:rPr>
      </w:pPr>
      <w:r w:rsidRPr="008431BA">
        <w:rPr>
          <w:rFonts w:eastAsia="Calibri"/>
          <w:b/>
        </w:rPr>
        <w:t>WHEREAS</w:t>
      </w:r>
      <w:r>
        <w:rPr>
          <w:rFonts w:eastAsia="Calibri"/>
        </w:rPr>
        <w:t xml:space="preserve"> Enterprise’s price for Alternate Bid was $2,955,350.00; and</w:t>
      </w:r>
    </w:p>
    <w:p w:rsidR="00485B38" w:rsidRDefault="00485B38" w:rsidP="0027692F">
      <w:pPr>
        <w:spacing w:after="0"/>
        <w:ind w:left="-90" w:firstLine="90"/>
        <w:jc w:val="both"/>
        <w:rPr>
          <w:rFonts w:eastAsia="Calibri"/>
        </w:rPr>
      </w:pPr>
    </w:p>
    <w:p w:rsidR="00485B38" w:rsidRDefault="00485B38" w:rsidP="0027692F">
      <w:pPr>
        <w:spacing w:after="0"/>
        <w:ind w:left="-90" w:firstLine="90"/>
        <w:jc w:val="both"/>
        <w:rPr>
          <w:rFonts w:eastAsia="Calibri"/>
        </w:rPr>
      </w:pPr>
      <w:r w:rsidRPr="008431BA">
        <w:rPr>
          <w:rFonts w:eastAsia="Calibri"/>
          <w:b/>
        </w:rPr>
        <w:t>WHEREAS</w:t>
      </w:r>
      <w:r>
        <w:rPr>
          <w:rFonts w:eastAsia="Calibri"/>
        </w:rPr>
        <w:t xml:space="preserve"> Enterprise’s combined price for the Base Bid plus Alternate Bid of $4,979,450.00 was the lowest received; and</w:t>
      </w:r>
    </w:p>
    <w:p w:rsidR="00485B38" w:rsidRDefault="00485B38" w:rsidP="0027692F">
      <w:pPr>
        <w:spacing w:after="0"/>
        <w:ind w:left="-90" w:firstLine="90"/>
        <w:jc w:val="both"/>
        <w:rPr>
          <w:rFonts w:eastAsia="Calibri"/>
        </w:rPr>
      </w:pPr>
    </w:p>
    <w:p w:rsidR="00485B38" w:rsidRDefault="00485B38" w:rsidP="0027692F">
      <w:pPr>
        <w:spacing w:after="0"/>
        <w:ind w:left="-90" w:firstLine="90"/>
        <w:jc w:val="both"/>
        <w:rPr>
          <w:rFonts w:eastAsia="Calibri"/>
        </w:rPr>
      </w:pPr>
      <w:r w:rsidRPr="008431BA">
        <w:rPr>
          <w:rFonts w:eastAsia="Calibri"/>
          <w:b/>
        </w:rPr>
        <w:t xml:space="preserve">WHEREAS </w:t>
      </w:r>
      <w:r>
        <w:rPr>
          <w:rFonts w:eastAsia="Calibri"/>
        </w:rPr>
        <w:t>said bid was within the funds allocated for this project; and</w:t>
      </w:r>
    </w:p>
    <w:p w:rsidR="00485B38" w:rsidRDefault="00485B38" w:rsidP="0027692F">
      <w:pPr>
        <w:spacing w:after="0"/>
        <w:ind w:left="-90" w:firstLine="90"/>
        <w:jc w:val="both"/>
        <w:rPr>
          <w:rFonts w:eastAsia="Calibri"/>
        </w:rPr>
      </w:pPr>
    </w:p>
    <w:p w:rsidR="005E1199" w:rsidRDefault="00485B38" w:rsidP="0027692F">
      <w:pPr>
        <w:spacing w:after="0"/>
        <w:ind w:left="-90" w:firstLine="90"/>
        <w:jc w:val="both"/>
        <w:rPr>
          <w:rFonts w:eastAsia="Calibri"/>
        </w:rPr>
      </w:pPr>
      <w:r w:rsidRPr="008431BA">
        <w:rPr>
          <w:rFonts w:eastAsia="Calibri"/>
          <w:b/>
        </w:rPr>
        <w:t>WHEREAS t</w:t>
      </w:r>
      <w:r>
        <w:rPr>
          <w:rFonts w:eastAsia="Calibri"/>
        </w:rPr>
        <w:t xml:space="preserve">he offices of the Borough Engineer and Borough Attorney have reviewed </w:t>
      </w:r>
      <w:r w:rsidR="005E1199">
        <w:rPr>
          <w:rFonts w:eastAsia="Calibri"/>
        </w:rPr>
        <w:t xml:space="preserve"> </w:t>
      </w:r>
    </w:p>
    <w:p w:rsidR="00485B38" w:rsidRDefault="00485B38" w:rsidP="0027692F">
      <w:pPr>
        <w:spacing w:after="0"/>
        <w:ind w:left="-90" w:firstLine="90"/>
        <w:jc w:val="both"/>
        <w:rPr>
          <w:rFonts w:eastAsia="Calibri"/>
        </w:rPr>
      </w:pPr>
      <w:proofErr w:type="gramStart"/>
      <w:r>
        <w:rPr>
          <w:rFonts w:eastAsia="Calibri"/>
        </w:rPr>
        <w:t>this</w:t>
      </w:r>
      <w:proofErr w:type="gramEnd"/>
      <w:r>
        <w:rPr>
          <w:rFonts w:eastAsia="Calibri"/>
        </w:rPr>
        <w:t xml:space="preserve"> bid and have deemed it responsive to the bid specifications; and</w:t>
      </w:r>
    </w:p>
    <w:p w:rsidR="00485B38" w:rsidRDefault="00485B38" w:rsidP="0027692F">
      <w:pPr>
        <w:spacing w:after="0"/>
        <w:ind w:left="-90" w:firstLine="90"/>
        <w:jc w:val="both"/>
        <w:rPr>
          <w:rFonts w:eastAsia="Calibri"/>
        </w:rPr>
      </w:pPr>
    </w:p>
    <w:p w:rsidR="005E1199" w:rsidRDefault="00485B38" w:rsidP="0027692F">
      <w:pPr>
        <w:spacing w:after="0"/>
        <w:ind w:left="-90" w:firstLine="90"/>
        <w:jc w:val="both"/>
        <w:rPr>
          <w:rFonts w:eastAsia="Calibri"/>
        </w:rPr>
      </w:pPr>
      <w:r w:rsidRPr="008431BA">
        <w:rPr>
          <w:rFonts w:eastAsia="Calibri"/>
          <w:b/>
        </w:rPr>
        <w:t>WHEREAS</w:t>
      </w:r>
      <w:r>
        <w:rPr>
          <w:rFonts w:eastAsia="Calibri"/>
        </w:rPr>
        <w:t xml:space="preserve"> I, Joseph Iannaconi, Jr., C.F.O., do hereby certify that funds have been </w:t>
      </w:r>
      <w:r w:rsidR="005E1199">
        <w:rPr>
          <w:rFonts w:eastAsia="Calibri"/>
        </w:rPr>
        <w:t xml:space="preserve"> </w:t>
      </w:r>
    </w:p>
    <w:p w:rsidR="004E1FCA" w:rsidRPr="004E1FCA" w:rsidRDefault="00485B38" w:rsidP="0027692F">
      <w:pPr>
        <w:spacing w:after="0"/>
        <w:ind w:left="-90" w:firstLine="90"/>
        <w:jc w:val="both"/>
        <w:rPr>
          <w:rFonts w:eastAsia="Calibri"/>
        </w:rPr>
      </w:pPr>
      <w:proofErr w:type="gramStart"/>
      <w:r>
        <w:rPr>
          <w:rFonts w:eastAsia="Calibri"/>
        </w:rPr>
        <w:t>appropriated</w:t>
      </w:r>
      <w:proofErr w:type="gramEnd"/>
      <w:r>
        <w:rPr>
          <w:rFonts w:eastAsia="Calibri"/>
        </w:rPr>
        <w:t xml:space="preserve"> for this purpose as authorized </w:t>
      </w:r>
      <w:r w:rsidRPr="004E1FCA">
        <w:rPr>
          <w:rFonts w:eastAsia="Calibri"/>
        </w:rPr>
        <w:t>by</w:t>
      </w:r>
      <w:r w:rsidR="00823382">
        <w:rPr>
          <w:rFonts w:eastAsia="Calibri"/>
        </w:rPr>
        <w:t xml:space="preserve"> Joseph Iannaconi, Jr., C.F.O.</w:t>
      </w:r>
    </w:p>
    <w:p w:rsidR="004E1FCA" w:rsidRPr="004E1FCA" w:rsidRDefault="004E1FCA" w:rsidP="0027692F">
      <w:pPr>
        <w:spacing w:after="0"/>
        <w:ind w:left="-90" w:firstLine="90"/>
        <w:jc w:val="both"/>
        <w:rPr>
          <w:rFonts w:eastAsia="Calibri"/>
        </w:rPr>
      </w:pPr>
    </w:p>
    <w:p w:rsidR="004E1FCA" w:rsidRDefault="004E1FCA" w:rsidP="0027692F">
      <w:pPr>
        <w:spacing w:after="0"/>
        <w:ind w:left="-90" w:firstLine="90"/>
        <w:jc w:val="both"/>
        <w:rPr>
          <w:rFonts w:eastAsia="Calibri"/>
        </w:rPr>
      </w:pPr>
      <w:r w:rsidRPr="004E1FCA">
        <w:rPr>
          <w:rFonts w:eastAsia="Calibri"/>
          <w:b/>
        </w:rPr>
        <w:t>WHEREAS</w:t>
      </w:r>
      <w:r w:rsidRPr="004E1FCA">
        <w:rPr>
          <w:rFonts w:eastAsia="Calibri"/>
        </w:rPr>
        <w:t xml:space="preserve"> the Borough has advised the Bond Company, Liberty Mutual Insurance </w:t>
      </w:r>
      <w:r>
        <w:rPr>
          <w:rFonts w:eastAsia="Calibri"/>
        </w:rPr>
        <w:t xml:space="preserve">  </w:t>
      </w:r>
    </w:p>
    <w:p w:rsidR="004E1FCA" w:rsidRDefault="004E1FCA" w:rsidP="0027692F">
      <w:pPr>
        <w:spacing w:after="0"/>
        <w:ind w:left="-90" w:firstLine="90"/>
        <w:jc w:val="both"/>
        <w:rPr>
          <w:rFonts w:eastAsia="Calibri"/>
        </w:rPr>
      </w:pPr>
      <w:r w:rsidRPr="004E1FCA">
        <w:rPr>
          <w:rFonts w:eastAsia="Calibri"/>
        </w:rPr>
        <w:t>Company</w:t>
      </w:r>
      <w:r>
        <w:rPr>
          <w:rFonts w:eastAsia="Calibri"/>
        </w:rPr>
        <w:t xml:space="preserve">, of the Borough’s intention to award a Contract to the lowest responsible </w:t>
      </w:r>
    </w:p>
    <w:p w:rsidR="005160D6" w:rsidRDefault="004E1FCA" w:rsidP="0027692F">
      <w:pPr>
        <w:spacing w:after="0"/>
        <w:ind w:left="-90" w:firstLine="90"/>
        <w:jc w:val="both"/>
        <w:rPr>
          <w:rFonts w:eastAsia="Calibri"/>
        </w:rPr>
      </w:pPr>
      <w:proofErr w:type="gramStart"/>
      <w:r>
        <w:rPr>
          <w:rFonts w:eastAsia="Calibri"/>
        </w:rPr>
        <w:lastRenderedPageBreak/>
        <w:t>bidders</w:t>
      </w:r>
      <w:proofErr w:type="gramEnd"/>
      <w:r>
        <w:rPr>
          <w:rFonts w:eastAsia="Calibri"/>
        </w:rPr>
        <w:t xml:space="preserve"> for the rem</w:t>
      </w:r>
      <w:r w:rsidR="005160D6">
        <w:rPr>
          <w:rFonts w:eastAsia="Calibri"/>
        </w:rPr>
        <w:t xml:space="preserve">ediation of Veteran’s Field and that the Borough shall seek full </w:t>
      </w:r>
    </w:p>
    <w:p w:rsidR="005160D6" w:rsidRDefault="005160D6" w:rsidP="0027692F">
      <w:pPr>
        <w:spacing w:after="0"/>
        <w:ind w:left="-90" w:firstLine="90"/>
        <w:jc w:val="both"/>
        <w:rPr>
          <w:rFonts w:eastAsia="Calibri"/>
        </w:rPr>
      </w:pPr>
      <w:proofErr w:type="gramStart"/>
      <w:r>
        <w:rPr>
          <w:rFonts w:eastAsia="Calibri"/>
        </w:rPr>
        <w:t>reimbursement</w:t>
      </w:r>
      <w:proofErr w:type="gramEnd"/>
      <w:r>
        <w:rPr>
          <w:rFonts w:eastAsia="Calibri"/>
        </w:rPr>
        <w:t xml:space="preserve"> and restitution for the costs thereof from the Bond Company; and</w:t>
      </w:r>
    </w:p>
    <w:p w:rsidR="005160D6" w:rsidRDefault="005160D6" w:rsidP="0027692F">
      <w:pPr>
        <w:spacing w:after="0"/>
        <w:ind w:left="-90" w:firstLine="90"/>
        <w:jc w:val="both"/>
        <w:rPr>
          <w:rFonts w:eastAsia="Calibri"/>
        </w:rPr>
      </w:pPr>
    </w:p>
    <w:p w:rsidR="005160D6" w:rsidRDefault="005160D6" w:rsidP="0027692F">
      <w:pPr>
        <w:spacing w:after="0"/>
        <w:ind w:left="-90" w:firstLine="90"/>
        <w:jc w:val="both"/>
        <w:rPr>
          <w:rFonts w:eastAsia="Calibri"/>
        </w:rPr>
      </w:pPr>
      <w:r>
        <w:rPr>
          <w:rFonts w:eastAsia="Calibri"/>
          <w:b/>
        </w:rPr>
        <w:t>WHEREAS</w:t>
      </w:r>
      <w:r>
        <w:rPr>
          <w:rFonts w:eastAsia="Calibri"/>
        </w:rPr>
        <w:t xml:space="preserve"> the Borough has further advised the Contractor, Waterside Construction, </w:t>
      </w:r>
    </w:p>
    <w:p w:rsidR="005E1199" w:rsidRDefault="005160D6" w:rsidP="0027692F">
      <w:pPr>
        <w:spacing w:after="0"/>
        <w:ind w:left="-90" w:firstLine="90"/>
        <w:jc w:val="both"/>
        <w:rPr>
          <w:rFonts w:eastAsia="Calibri"/>
        </w:rPr>
      </w:pPr>
      <w:r>
        <w:rPr>
          <w:rFonts w:eastAsia="Calibri"/>
        </w:rPr>
        <w:t>LLC that they are in</w:t>
      </w:r>
      <w:r w:rsidR="005E1199">
        <w:rPr>
          <w:rFonts w:eastAsia="Calibri"/>
        </w:rPr>
        <w:t xml:space="preserve"> default of their Contract with the Borough by bringing contaminated </w:t>
      </w:r>
    </w:p>
    <w:p w:rsidR="005E1199" w:rsidRDefault="005E1199" w:rsidP="0027692F">
      <w:pPr>
        <w:spacing w:after="0"/>
        <w:ind w:left="-90" w:firstLine="90"/>
        <w:jc w:val="both"/>
        <w:rPr>
          <w:rFonts w:eastAsia="Calibri"/>
        </w:rPr>
      </w:pPr>
      <w:proofErr w:type="gramStart"/>
      <w:r>
        <w:rPr>
          <w:rFonts w:eastAsia="Calibri"/>
        </w:rPr>
        <w:t>material</w:t>
      </w:r>
      <w:proofErr w:type="gramEnd"/>
      <w:r>
        <w:rPr>
          <w:rFonts w:eastAsia="Calibri"/>
        </w:rPr>
        <w:t xml:space="preserve"> onto Veteran’s Field and therefore the Contract with Waterside Construction, </w:t>
      </w:r>
    </w:p>
    <w:p w:rsidR="005E1199" w:rsidRDefault="005E1199" w:rsidP="0027692F">
      <w:pPr>
        <w:spacing w:after="0"/>
        <w:ind w:left="-90" w:firstLine="90"/>
        <w:jc w:val="both"/>
        <w:rPr>
          <w:rFonts w:eastAsia="Calibri"/>
        </w:rPr>
      </w:pPr>
      <w:r>
        <w:rPr>
          <w:rFonts w:eastAsia="Calibri"/>
        </w:rPr>
        <w:t>LLC is hereby terminated; and</w:t>
      </w:r>
    </w:p>
    <w:p w:rsidR="005E1199" w:rsidRDefault="005E1199" w:rsidP="0027692F">
      <w:pPr>
        <w:spacing w:after="0"/>
        <w:ind w:left="-90" w:firstLine="90"/>
        <w:jc w:val="both"/>
        <w:rPr>
          <w:rFonts w:eastAsia="Calibri"/>
        </w:rPr>
      </w:pPr>
    </w:p>
    <w:p w:rsidR="005E1199" w:rsidRPr="005E1199" w:rsidRDefault="005E1199" w:rsidP="0027692F">
      <w:pPr>
        <w:spacing w:after="0"/>
        <w:ind w:left="-90" w:firstLine="90"/>
        <w:jc w:val="both"/>
        <w:rPr>
          <w:rFonts w:eastAsia="Calibri"/>
        </w:rPr>
      </w:pPr>
      <w:r>
        <w:rPr>
          <w:rFonts w:eastAsia="Calibri"/>
          <w:b/>
        </w:rPr>
        <w:t>WHEREAS,</w:t>
      </w:r>
      <w:r>
        <w:rPr>
          <w:rFonts w:eastAsia="Calibri"/>
        </w:rPr>
        <w:t xml:space="preserve"> the Borough did receive two challenges to the award of bid from unsuccessful bidders, Applied Landscape Technologies and Creamer Environmental, Inc., and the Borough has determined that said challenges are without merit. </w:t>
      </w:r>
    </w:p>
    <w:p w:rsidR="005E1199" w:rsidRDefault="005E1199" w:rsidP="0027692F">
      <w:pPr>
        <w:spacing w:after="0"/>
        <w:ind w:left="-90" w:firstLine="90"/>
        <w:jc w:val="both"/>
        <w:rPr>
          <w:rFonts w:eastAsia="Calibri"/>
          <w:b/>
        </w:rPr>
      </w:pPr>
    </w:p>
    <w:p w:rsidR="00485B38" w:rsidRDefault="00485B38" w:rsidP="0027692F">
      <w:pPr>
        <w:spacing w:after="0"/>
        <w:ind w:left="-90" w:firstLine="90"/>
        <w:jc w:val="both"/>
        <w:rPr>
          <w:rFonts w:eastAsia="Calibri"/>
        </w:rPr>
      </w:pPr>
      <w:r w:rsidRPr="005B7216">
        <w:rPr>
          <w:rFonts w:eastAsia="Calibri"/>
          <w:b/>
        </w:rPr>
        <w:t>NOW, THEREFORE, BE IT RESOLVED</w:t>
      </w:r>
      <w:r>
        <w:rPr>
          <w:rFonts w:eastAsia="Calibri"/>
        </w:rPr>
        <w:t xml:space="preserve"> by the </w:t>
      </w:r>
      <w:r w:rsidR="002C3507">
        <w:rPr>
          <w:rFonts w:eastAsia="Calibri"/>
        </w:rPr>
        <w:t>Mayor and Council of the Borough of Edgewater that a contract for the above referenced project shall be awarded, consistent with the bid specifications and contractor’s bid as follows:</w:t>
      </w:r>
    </w:p>
    <w:p w:rsidR="002C3507" w:rsidRDefault="002C3507" w:rsidP="0027692F">
      <w:pPr>
        <w:spacing w:after="0"/>
        <w:ind w:left="-90" w:firstLine="90"/>
        <w:jc w:val="both"/>
        <w:rPr>
          <w:rFonts w:eastAsia="Calibri"/>
        </w:rPr>
      </w:pPr>
    </w:p>
    <w:p w:rsidR="005B7216" w:rsidRDefault="005B7216" w:rsidP="0027692F">
      <w:pPr>
        <w:spacing w:after="0"/>
        <w:ind w:left="-90" w:firstLine="90"/>
        <w:jc w:val="both"/>
        <w:rPr>
          <w:rFonts w:eastAsia="Calibri"/>
        </w:rPr>
      </w:pPr>
      <w:r>
        <w:rPr>
          <w:rFonts w:eastAsia="Calibri"/>
        </w:rPr>
        <w:t>Contractor</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Amount</w:t>
      </w:r>
    </w:p>
    <w:p w:rsidR="005B7216" w:rsidRDefault="005B7216" w:rsidP="0027692F">
      <w:pPr>
        <w:spacing w:after="0"/>
        <w:ind w:left="-90" w:firstLine="90"/>
        <w:jc w:val="both"/>
        <w:rPr>
          <w:rFonts w:eastAsia="Calibri"/>
        </w:rPr>
      </w:pPr>
    </w:p>
    <w:p w:rsidR="005B7216" w:rsidRDefault="005B7216" w:rsidP="0027692F">
      <w:pPr>
        <w:spacing w:after="0"/>
        <w:ind w:left="-90" w:firstLine="90"/>
        <w:jc w:val="both"/>
        <w:rPr>
          <w:rFonts w:eastAsia="Calibri"/>
        </w:rPr>
      </w:pPr>
      <w:r>
        <w:rPr>
          <w:rFonts w:eastAsia="Calibri"/>
        </w:rPr>
        <w:t>Enterprise Network Resolutions Contracting</w:t>
      </w:r>
      <w:r>
        <w:rPr>
          <w:rFonts w:eastAsia="Calibri"/>
        </w:rPr>
        <w:tab/>
      </w:r>
      <w:r>
        <w:rPr>
          <w:rFonts w:eastAsia="Calibri"/>
        </w:rPr>
        <w:tab/>
        <w:t>Base Bid:     $2,024,100.00</w:t>
      </w:r>
    </w:p>
    <w:p w:rsidR="002C3507" w:rsidRPr="0027692F" w:rsidRDefault="002C3507" w:rsidP="0027692F">
      <w:pPr>
        <w:spacing w:after="0"/>
        <w:ind w:left="-90" w:firstLine="90"/>
        <w:jc w:val="both"/>
        <w:rPr>
          <w:rFonts w:eastAsia="Calibri"/>
        </w:rPr>
      </w:pPr>
    </w:p>
    <w:p w:rsidR="0027692F" w:rsidRDefault="005B7216" w:rsidP="0027692F">
      <w:pPr>
        <w:spacing w:after="0"/>
        <w:ind w:left="-630" w:firstLine="630"/>
        <w:jc w:val="both"/>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Alt. Base        $</w:t>
      </w:r>
      <w:r w:rsidRPr="00E06758">
        <w:rPr>
          <w:rFonts w:eastAsia="Times New Roman"/>
        </w:rPr>
        <w:t>2,</w:t>
      </w:r>
      <w:r w:rsidR="00E06758" w:rsidRPr="00E06758">
        <w:rPr>
          <w:rFonts w:eastAsia="Times New Roman"/>
        </w:rPr>
        <w:t>955,350</w:t>
      </w:r>
      <w:r w:rsidRPr="00E06758">
        <w:rPr>
          <w:rFonts w:eastAsia="Times New Roman"/>
        </w:rPr>
        <w:t>.00</w:t>
      </w:r>
    </w:p>
    <w:p w:rsidR="00E06758" w:rsidRPr="00E06758" w:rsidRDefault="00E06758" w:rsidP="0027692F">
      <w:pPr>
        <w:spacing w:after="0"/>
        <w:ind w:left="-630" w:firstLine="630"/>
        <w:jc w:val="both"/>
        <w:rPr>
          <w:rFonts w:eastAsia="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C719DC">
        <w:rPr>
          <w:rFonts w:ascii="Times New Roman" w:eastAsia="Times New Roman" w:hAnsi="Times New Roman" w:cs="Times New Roman"/>
          <w:b/>
          <w:szCs w:val="20"/>
        </w:rPr>
        <w:t>TOTAL</w:t>
      </w:r>
      <w:r>
        <w:rPr>
          <w:rFonts w:ascii="Times New Roman" w:eastAsia="Times New Roman" w:hAnsi="Times New Roman" w:cs="Times New Roman"/>
          <w:szCs w:val="20"/>
        </w:rPr>
        <w:t xml:space="preserve"> </w:t>
      </w:r>
      <w:r w:rsidR="006811A5">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Pr="00E06758">
        <w:rPr>
          <w:rFonts w:eastAsia="Times New Roman"/>
          <w:szCs w:val="20"/>
        </w:rPr>
        <w:t>$4,979,450.00</w:t>
      </w:r>
    </w:p>
    <w:p w:rsidR="0027692F" w:rsidRDefault="00E06758" w:rsidP="00E06758">
      <w:pPr>
        <w:pStyle w:val="NoSpacing"/>
      </w:pPr>
      <w:r>
        <w:tab/>
      </w:r>
      <w:r>
        <w:tab/>
      </w:r>
    </w:p>
    <w:p w:rsidR="0027692F" w:rsidRDefault="0027692F" w:rsidP="0027692F">
      <w:pPr>
        <w:spacing w:after="0"/>
        <w:ind w:left="-630" w:firstLine="630"/>
        <w:jc w:val="both"/>
        <w:rPr>
          <w:rFonts w:ascii="Times New Roman" w:eastAsia="Times New Roman" w:hAnsi="Times New Roman" w:cs="Times New Roman"/>
          <w:szCs w:val="20"/>
        </w:rPr>
      </w:pPr>
    </w:p>
    <w:p w:rsidR="0027692F" w:rsidRDefault="0027692F" w:rsidP="0027692F">
      <w:pPr>
        <w:spacing w:after="0"/>
        <w:ind w:left="-630" w:firstLine="630"/>
        <w:jc w:val="both"/>
        <w:rPr>
          <w:rFonts w:ascii="Times New Roman" w:eastAsia="Times New Roman" w:hAnsi="Times New Roman" w:cs="Times New Roman"/>
          <w:szCs w:val="20"/>
        </w:rPr>
      </w:pPr>
    </w:p>
    <w:p w:rsidR="0027692F" w:rsidRDefault="0027692F" w:rsidP="0027692F">
      <w:pPr>
        <w:spacing w:after="0"/>
        <w:ind w:left="-630" w:firstLine="630"/>
        <w:jc w:val="both"/>
        <w:rPr>
          <w:rFonts w:ascii="Times New Roman" w:eastAsia="Times New Roman" w:hAnsi="Times New Roman" w:cs="Times New Roman"/>
          <w:szCs w:val="20"/>
        </w:rPr>
      </w:pPr>
    </w:p>
    <w:p w:rsidR="0027692F" w:rsidRDefault="0027692F" w:rsidP="0027692F">
      <w:pPr>
        <w:spacing w:after="0"/>
        <w:ind w:left="-630" w:firstLine="630"/>
        <w:jc w:val="both"/>
        <w:rPr>
          <w:rFonts w:ascii="Times New Roman" w:eastAsia="Times New Roman" w:hAnsi="Times New Roman" w:cs="Times New Roman"/>
          <w:szCs w:val="20"/>
        </w:rPr>
      </w:pPr>
    </w:p>
    <w:p w:rsidR="0027692F" w:rsidRDefault="0027692F" w:rsidP="0027692F">
      <w:pPr>
        <w:spacing w:after="0"/>
        <w:ind w:left="-630" w:firstLine="630"/>
        <w:jc w:val="both"/>
        <w:rPr>
          <w:rFonts w:ascii="Times New Roman" w:eastAsia="Times New Roman" w:hAnsi="Times New Roman" w:cs="Times New Roman"/>
          <w:szCs w:val="20"/>
        </w:rPr>
      </w:pPr>
    </w:p>
    <w:p w:rsidR="00E06758" w:rsidRDefault="00E06758" w:rsidP="0027692F">
      <w:pPr>
        <w:spacing w:after="0"/>
        <w:ind w:left="-630" w:firstLine="630"/>
        <w:jc w:val="both"/>
        <w:rPr>
          <w:rFonts w:ascii="Times New Roman" w:eastAsia="Times New Roman" w:hAnsi="Times New Roman" w:cs="Times New Roman"/>
          <w:szCs w:val="20"/>
        </w:rPr>
      </w:pPr>
    </w:p>
    <w:p w:rsidR="00E06758" w:rsidRDefault="00E06758" w:rsidP="0027692F">
      <w:pPr>
        <w:spacing w:after="0"/>
        <w:ind w:left="-630" w:firstLine="630"/>
        <w:jc w:val="both"/>
        <w:rPr>
          <w:rFonts w:ascii="Times New Roman" w:eastAsia="Times New Roman" w:hAnsi="Times New Roman" w:cs="Times New Roman"/>
          <w:szCs w:val="20"/>
        </w:rPr>
      </w:pPr>
    </w:p>
    <w:p w:rsidR="00E06758" w:rsidRDefault="00E06758" w:rsidP="0027692F">
      <w:pPr>
        <w:spacing w:after="0"/>
        <w:ind w:left="-630" w:firstLine="630"/>
        <w:jc w:val="both"/>
        <w:rPr>
          <w:rFonts w:ascii="Times New Roman" w:eastAsia="Times New Roman" w:hAnsi="Times New Roman" w:cs="Times New Roman"/>
          <w:szCs w:val="20"/>
        </w:rPr>
      </w:pPr>
    </w:p>
    <w:p w:rsidR="00E06758" w:rsidRDefault="00E06758" w:rsidP="0027692F">
      <w:pPr>
        <w:spacing w:after="0"/>
        <w:ind w:left="-630" w:firstLine="630"/>
        <w:jc w:val="both"/>
        <w:rPr>
          <w:rFonts w:ascii="Times New Roman" w:eastAsia="Times New Roman" w:hAnsi="Times New Roman" w:cs="Times New Roman"/>
          <w:szCs w:val="20"/>
        </w:rPr>
      </w:pPr>
    </w:p>
    <w:p w:rsidR="00E06758" w:rsidRDefault="00E06758" w:rsidP="0027692F">
      <w:pPr>
        <w:spacing w:after="0"/>
        <w:ind w:left="-630" w:firstLine="630"/>
        <w:jc w:val="both"/>
        <w:rPr>
          <w:rFonts w:ascii="Times New Roman" w:eastAsia="Times New Roman" w:hAnsi="Times New Roman" w:cs="Times New Roman"/>
          <w:szCs w:val="20"/>
        </w:rPr>
      </w:pPr>
    </w:p>
    <w:p w:rsidR="00E06758" w:rsidRDefault="00E06758" w:rsidP="0027692F">
      <w:pPr>
        <w:spacing w:after="0"/>
        <w:ind w:left="-630" w:firstLine="630"/>
        <w:jc w:val="both"/>
        <w:rPr>
          <w:rFonts w:ascii="Times New Roman" w:eastAsia="Times New Roman" w:hAnsi="Times New Roman" w:cs="Times New Roman"/>
          <w:szCs w:val="20"/>
        </w:rPr>
      </w:pPr>
    </w:p>
    <w:p w:rsidR="00E06758" w:rsidRDefault="00E06758" w:rsidP="0027692F">
      <w:pPr>
        <w:spacing w:after="0"/>
        <w:ind w:left="-630" w:firstLine="630"/>
        <w:jc w:val="both"/>
        <w:rPr>
          <w:rFonts w:ascii="Times New Roman" w:eastAsia="Times New Roman" w:hAnsi="Times New Roman" w:cs="Times New Roman"/>
          <w:szCs w:val="20"/>
        </w:rPr>
      </w:pPr>
    </w:p>
    <w:p w:rsidR="0027692F" w:rsidRPr="0027692F" w:rsidRDefault="0027692F" w:rsidP="0027692F">
      <w:pPr>
        <w:spacing w:after="0"/>
        <w:ind w:left="-630" w:firstLine="630"/>
        <w:jc w:val="both"/>
        <w:rPr>
          <w:rFonts w:eastAsia="Times New Roman"/>
        </w:rPr>
      </w:pPr>
      <w:r w:rsidRPr="0027692F">
        <w:rPr>
          <w:rFonts w:eastAsia="Times New Roman"/>
        </w:rPr>
        <w:t>I hereby certify that this Resolution was adopted by the Governing Body on September 15, 2014.</w:t>
      </w:r>
    </w:p>
    <w:p w:rsidR="0027692F" w:rsidRPr="0027692F" w:rsidRDefault="0027692F" w:rsidP="0027692F">
      <w:pPr>
        <w:spacing w:after="0"/>
        <w:ind w:left="-630"/>
        <w:jc w:val="both"/>
        <w:rPr>
          <w:rFonts w:eastAsia="Times New Roman"/>
        </w:rPr>
      </w:pPr>
    </w:p>
    <w:p w:rsidR="0027692F" w:rsidRPr="0027692F" w:rsidRDefault="0027692F" w:rsidP="0027692F">
      <w:pPr>
        <w:spacing w:after="0"/>
        <w:ind w:left="-630"/>
        <w:jc w:val="both"/>
        <w:rPr>
          <w:rFonts w:eastAsia="Times New Roman"/>
        </w:rPr>
      </w:pP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t xml:space="preserve">______________________________ </w:t>
      </w:r>
    </w:p>
    <w:p w:rsidR="0027692F" w:rsidRPr="0027692F" w:rsidRDefault="0027692F" w:rsidP="0027692F">
      <w:pPr>
        <w:tabs>
          <w:tab w:val="center" w:pos="4257"/>
        </w:tabs>
        <w:spacing w:after="0"/>
        <w:rPr>
          <w:rFonts w:eastAsia="Times New Roman"/>
        </w:rPr>
      </w:pPr>
      <w:r w:rsidRPr="0027692F">
        <w:rPr>
          <w:rFonts w:eastAsia="Times New Roman"/>
        </w:rPr>
        <w:tab/>
      </w:r>
      <w:r w:rsidRPr="0027692F">
        <w:rPr>
          <w:rFonts w:eastAsia="Times New Roman"/>
        </w:rPr>
        <w:tab/>
      </w:r>
      <w:r w:rsidRPr="0027692F">
        <w:rPr>
          <w:rFonts w:eastAsia="Times New Roman"/>
        </w:rPr>
        <w:tab/>
        <w:t>BARBARA RAE, RMC, CMC</w:t>
      </w:r>
    </w:p>
    <w:p w:rsidR="0027692F" w:rsidRPr="0027692F" w:rsidRDefault="0027692F" w:rsidP="0027692F">
      <w:pPr>
        <w:tabs>
          <w:tab w:val="center" w:pos="4257"/>
        </w:tabs>
        <w:spacing w:after="0"/>
        <w:rPr>
          <w:rFonts w:eastAsia="Calibri"/>
        </w:rPr>
      </w:pPr>
      <w:r w:rsidRPr="0027692F">
        <w:rPr>
          <w:rFonts w:eastAsia="Times New Roman"/>
        </w:rPr>
        <w:tab/>
      </w:r>
      <w:r w:rsidRPr="0027692F">
        <w:rPr>
          <w:rFonts w:eastAsia="Times New Roman"/>
        </w:rPr>
        <w:tab/>
      </w:r>
      <w:r w:rsidRPr="0027692F">
        <w:rPr>
          <w:rFonts w:eastAsia="Times New Roman"/>
        </w:rPr>
        <w:tab/>
        <w:t>Borough Clerk</w:t>
      </w:r>
    </w:p>
    <w:p w:rsidR="001A525E" w:rsidRPr="00E06758" w:rsidRDefault="001A525E"/>
    <w:sectPr w:rsidR="001A525E" w:rsidRPr="00E06758" w:rsidSect="00C77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2"/>
  </w:compat>
  <w:rsids>
    <w:rsidRoot w:val="0027692F"/>
    <w:rsid w:val="00037812"/>
    <w:rsid w:val="001A525E"/>
    <w:rsid w:val="0027692F"/>
    <w:rsid w:val="00295778"/>
    <w:rsid w:val="002C3507"/>
    <w:rsid w:val="00485B38"/>
    <w:rsid w:val="004E1FCA"/>
    <w:rsid w:val="005160D6"/>
    <w:rsid w:val="005B7216"/>
    <w:rsid w:val="005E1199"/>
    <w:rsid w:val="00614517"/>
    <w:rsid w:val="006307CB"/>
    <w:rsid w:val="006811A5"/>
    <w:rsid w:val="006A5658"/>
    <w:rsid w:val="006C191C"/>
    <w:rsid w:val="00790718"/>
    <w:rsid w:val="00823382"/>
    <w:rsid w:val="008431BA"/>
    <w:rsid w:val="009E136D"/>
    <w:rsid w:val="00A8507A"/>
    <w:rsid w:val="00C569CD"/>
    <w:rsid w:val="00C719DC"/>
    <w:rsid w:val="00C77A7F"/>
    <w:rsid w:val="00E06758"/>
    <w:rsid w:val="00FF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75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75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cp:lastPrinted>2014-09-23T19:28:00Z</cp:lastPrinted>
  <dcterms:created xsi:type="dcterms:W3CDTF">2014-09-25T21:01:00Z</dcterms:created>
  <dcterms:modified xsi:type="dcterms:W3CDTF">2014-09-25T21:01:00Z</dcterms:modified>
</cp:coreProperties>
</file>