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08" w:type="dxa"/>
        <w:tblLook w:val="0000" w:firstRow="0" w:lastRow="0" w:firstColumn="0" w:lastColumn="0" w:noHBand="0" w:noVBand="0"/>
      </w:tblPr>
      <w:tblGrid>
        <w:gridCol w:w="2056"/>
        <w:gridCol w:w="676"/>
        <w:gridCol w:w="638"/>
        <w:gridCol w:w="1216"/>
        <w:gridCol w:w="1977"/>
        <w:gridCol w:w="293"/>
        <w:gridCol w:w="1424"/>
        <w:gridCol w:w="1309"/>
        <w:gridCol w:w="1391"/>
      </w:tblGrid>
      <w:tr w:rsidR="00271718" w:rsidRPr="00121977" w:rsidTr="009D508E">
        <w:trPr>
          <w:trHeight w:val="390"/>
        </w:trPr>
        <w:tc>
          <w:tcPr>
            <w:tcW w:w="2056"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840"/>
            </w:tblGrid>
            <w:tr w:rsidR="00271718" w:rsidRPr="00121977" w:rsidTr="009D508E">
              <w:trPr>
                <w:trHeight w:val="390"/>
                <w:tblCellSpacing w:w="0" w:type="dxa"/>
              </w:trPr>
              <w:tc>
                <w:tcPr>
                  <w:tcW w:w="1840"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noProof/>
                      <w:sz w:val="20"/>
                      <w:szCs w:val="20"/>
                    </w:rPr>
                    <w:drawing>
                      <wp:anchor distT="0" distB="0" distL="114300" distR="114300" simplePos="0" relativeHeight="251659264" behindDoc="0" locked="0" layoutInCell="1" allowOverlap="1" wp14:anchorId="2B8940D0" wp14:editId="4B8840FB">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p w:rsidR="00271718" w:rsidRPr="00121977" w:rsidRDefault="00271718" w:rsidP="009D508E">
                  <w:pPr>
                    <w:spacing w:after="0"/>
                    <w:rPr>
                      <w:rFonts w:eastAsia="Times New Roman"/>
                      <w:sz w:val="20"/>
                      <w:szCs w:val="20"/>
                    </w:rPr>
                  </w:pPr>
                </w:p>
                <w:p w:rsidR="00271718" w:rsidRPr="00121977" w:rsidRDefault="00271718" w:rsidP="009D508E">
                  <w:pPr>
                    <w:spacing w:after="0"/>
                    <w:rPr>
                      <w:rFonts w:eastAsia="Times New Roman"/>
                      <w:sz w:val="20"/>
                      <w:szCs w:val="20"/>
                    </w:rPr>
                  </w:pPr>
                </w:p>
              </w:tc>
            </w:tr>
          </w:tbl>
          <w:p w:rsidR="00271718" w:rsidRPr="00121977" w:rsidRDefault="00271718" w:rsidP="009D508E">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4910" w:type="dxa"/>
            <w:gridSpan w:val="4"/>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r w:rsidRPr="00121977">
              <w:rPr>
                <w:rFonts w:ascii="Arial Black" w:eastAsia="Times New Roman" w:hAnsi="Arial Black"/>
                <w:b/>
                <w:bCs/>
                <w:szCs w:val="20"/>
              </w:rPr>
              <w:t>BOROUGH OF EDGEWATER</w:t>
            </w:r>
          </w:p>
        </w:tc>
        <w:tc>
          <w:tcPr>
            <w:tcW w:w="1309"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b/>
                <w:bCs/>
                <w:sz w:val="20"/>
                <w:szCs w:val="20"/>
              </w:rPr>
            </w:pPr>
          </w:p>
        </w:tc>
      </w:tr>
      <w:tr w:rsidR="00271718" w:rsidRPr="00121977" w:rsidTr="009D508E">
        <w:trPr>
          <w:trHeight w:val="390"/>
        </w:trPr>
        <w:tc>
          <w:tcPr>
            <w:tcW w:w="2056"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r w:rsidRPr="00121977">
              <w:rPr>
                <w:rFonts w:ascii="Arial Black" w:eastAsia="Times New Roman" w:hAnsi="Arial Black"/>
                <w:b/>
                <w:bCs/>
                <w:szCs w:val="20"/>
              </w:rPr>
              <w:t>RESOLUTION</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b/>
                <w:bCs/>
                <w:sz w:val="20"/>
                <w:szCs w:val="20"/>
              </w:rPr>
            </w:pPr>
          </w:p>
        </w:tc>
      </w:tr>
      <w:tr w:rsidR="00271718" w:rsidRPr="00121977" w:rsidTr="009D508E">
        <w:trPr>
          <w:trHeight w:val="612"/>
        </w:trPr>
        <w:tc>
          <w:tcPr>
            <w:tcW w:w="2056"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676"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638"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216"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977"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309" w:type="dxa"/>
            <w:tcBorders>
              <w:top w:val="nil"/>
              <w:left w:val="nil"/>
              <w:bottom w:val="nil"/>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b/>
                <w:bCs/>
                <w:szCs w:val="20"/>
              </w:rPr>
            </w:pPr>
          </w:p>
        </w:tc>
        <w:tc>
          <w:tcPr>
            <w:tcW w:w="1391"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b/>
                <w:bCs/>
                <w:sz w:val="20"/>
                <w:szCs w:val="20"/>
              </w:rPr>
            </w:pPr>
          </w:p>
        </w:tc>
      </w:tr>
      <w:tr w:rsidR="00271718" w:rsidRPr="00121977" w:rsidTr="009D508E">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271718" w:rsidRPr="00121977" w:rsidRDefault="00271718" w:rsidP="009D508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271718" w:rsidRPr="00121977" w:rsidRDefault="00271718" w:rsidP="009D508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271718" w:rsidRPr="00121977" w:rsidRDefault="00271718" w:rsidP="009D508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271718" w:rsidRPr="00121977" w:rsidRDefault="00271718" w:rsidP="009D508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271718" w:rsidRPr="00121977" w:rsidRDefault="00271718" w:rsidP="009D508E">
            <w:pPr>
              <w:spacing w:after="0"/>
              <w:jc w:val="center"/>
              <w:rPr>
                <w:rFonts w:ascii="Arial Black" w:eastAsia="Times New Roman" w:hAnsi="Arial Black"/>
                <w:smallCaps/>
                <w:sz w:val="20"/>
                <w:szCs w:val="20"/>
              </w:rPr>
            </w:pPr>
            <w:r w:rsidRPr="00121977">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Date:</w:t>
            </w:r>
          </w:p>
        </w:tc>
        <w:tc>
          <w:tcPr>
            <w:tcW w:w="2700" w:type="dxa"/>
            <w:gridSpan w:val="2"/>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July 14,</w:t>
            </w:r>
            <w:r w:rsidRPr="00121977">
              <w:rPr>
                <w:rFonts w:ascii="Times New Roman" w:eastAsia="Times New Roman" w:hAnsi="Times New Roman" w:cs="Times New Roman"/>
                <w:sz w:val="22"/>
                <w:szCs w:val="22"/>
              </w:rPr>
              <w:t xml:space="preserve"> 2014</w:t>
            </w:r>
          </w:p>
        </w:tc>
      </w:tr>
      <w:tr w:rsidR="00271718" w:rsidRPr="00121977" w:rsidTr="009D508E">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b/>
                <w:smallCaps/>
                <w:sz w:val="22"/>
                <w:szCs w:val="22"/>
              </w:rPr>
            </w:pPr>
            <w:r w:rsidRPr="00121977">
              <w:rPr>
                <w:rFonts w:eastAsia="Times New Roman"/>
                <w:b/>
                <w:smallCaps/>
                <w:sz w:val="22"/>
                <w:szCs w:val="22"/>
              </w:rPr>
              <w:t>HENWOOD</w:t>
            </w:r>
          </w:p>
        </w:tc>
        <w:tc>
          <w:tcPr>
            <w:tcW w:w="676"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Resolution No.</w:t>
            </w:r>
          </w:p>
        </w:tc>
        <w:tc>
          <w:tcPr>
            <w:tcW w:w="1309"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2014-200</w:t>
            </w:r>
          </w:p>
        </w:tc>
        <w:tc>
          <w:tcPr>
            <w:tcW w:w="1391"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0"/>
                <w:szCs w:val="20"/>
              </w:rPr>
            </w:pPr>
          </w:p>
        </w:tc>
      </w:tr>
      <w:tr w:rsidR="00271718" w:rsidRPr="00121977" w:rsidTr="009D508E">
        <w:trPr>
          <w:trHeight w:val="350"/>
        </w:trPr>
        <w:tc>
          <w:tcPr>
            <w:tcW w:w="2056" w:type="dxa"/>
            <w:tcBorders>
              <w:top w:val="nil"/>
              <w:left w:val="single" w:sz="8" w:space="0" w:color="auto"/>
              <w:bottom w:val="nil"/>
              <w:right w:val="single" w:sz="8" w:space="0" w:color="auto"/>
            </w:tcBorders>
            <w:shd w:val="clear" w:color="auto" w:fill="auto"/>
            <w:noWrap/>
            <w:vAlign w:val="bottom"/>
          </w:tcPr>
          <w:p w:rsidR="00271718" w:rsidRPr="00121977" w:rsidRDefault="00271718" w:rsidP="009D508E">
            <w:pPr>
              <w:spacing w:after="0"/>
              <w:rPr>
                <w:rFonts w:eastAsia="Times New Roman"/>
                <w:b/>
                <w:smallCaps/>
              </w:rPr>
            </w:pPr>
            <w:r w:rsidRPr="00121977">
              <w:rPr>
                <w:rFonts w:eastAsia="Times New Roman"/>
                <w:b/>
                <w:smallCaps/>
              </w:rPr>
              <w:t>DORAN</w:t>
            </w:r>
          </w:p>
        </w:tc>
        <w:tc>
          <w:tcPr>
            <w:tcW w:w="676"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Introduced by:</w:t>
            </w:r>
          </w:p>
        </w:tc>
        <w:tc>
          <w:tcPr>
            <w:tcW w:w="2700" w:type="dxa"/>
            <w:gridSpan w:val="2"/>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2"/>
                <w:szCs w:val="22"/>
              </w:rPr>
            </w:pPr>
          </w:p>
        </w:tc>
      </w:tr>
      <w:tr w:rsidR="00271718" w:rsidRPr="00121977" w:rsidTr="009D508E">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b/>
                <w:smallCaps/>
              </w:rPr>
            </w:pPr>
          </w:p>
          <w:p w:rsidR="00271718" w:rsidRPr="00121977" w:rsidRDefault="00271718" w:rsidP="009D508E">
            <w:pPr>
              <w:spacing w:after="0"/>
              <w:rPr>
                <w:rFonts w:eastAsia="Times New Roman"/>
                <w:b/>
                <w:smallCaps/>
              </w:rPr>
            </w:pPr>
            <w:r w:rsidRPr="00121977">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b/>
                <w:bCs/>
                <w:smallCaps/>
                <w:sz w:val="20"/>
                <w:szCs w:val="20"/>
                <w:u w:val="single"/>
              </w:rPr>
            </w:pPr>
          </w:p>
        </w:tc>
        <w:tc>
          <w:tcPr>
            <w:tcW w:w="1309"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271718" w:rsidRPr="00121977" w:rsidTr="009D508E">
        <w:trPr>
          <w:trHeight w:val="332"/>
        </w:trPr>
        <w:tc>
          <w:tcPr>
            <w:tcW w:w="2056" w:type="dxa"/>
            <w:tcBorders>
              <w:top w:val="nil"/>
              <w:left w:val="single" w:sz="8" w:space="0" w:color="auto"/>
              <w:bottom w:val="nil"/>
              <w:right w:val="single" w:sz="8" w:space="0" w:color="auto"/>
            </w:tcBorders>
            <w:shd w:val="clear" w:color="auto" w:fill="auto"/>
            <w:noWrap/>
            <w:vAlign w:val="bottom"/>
          </w:tcPr>
          <w:p w:rsidR="00271718" w:rsidRPr="00121977" w:rsidRDefault="00271718" w:rsidP="009D508E">
            <w:pPr>
              <w:spacing w:after="0"/>
              <w:rPr>
                <w:rFonts w:eastAsia="Times New Roman"/>
                <w:b/>
                <w:smallCaps/>
                <w:sz w:val="32"/>
                <w:szCs w:val="32"/>
              </w:rPr>
            </w:pPr>
            <w:r w:rsidRPr="00121977">
              <w:rPr>
                <w:rFonts w:eastAsia="Times New Roman"/>
                <w:b/>
                <w:smallCaps/>
                <w:sz w:val="32"/>
                <w:szCs w:val="32"/>
              </w:rPr>
              <w:t>vidal</w:t>
            </w:r>
          </w:p>
        </w:tc>
        <w:tc>
          <w:tcPr>
            <w:tcW w:w="676"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b/>
                <w:bCs/>
                <w:smallCaps/>
                <w:sz w:val="20"/>
                <w:szCs w:val="20"/>
              </w:rPr>
            </w:pPr>
            <w:r w:rsidRPr="00121977">
              <w:rPr>
                <w:rFonts w:ascii="Times New Roman" w:eastAsia="Times New Roman" w:hAnsi="Times New Roman" w:cs="Times New Roman"/>
                <w:b/>
                <w:bCs/>
                <w:smallCaps/>
                <w:sz w:val="20"/>
                <w:szCs w:val="20"/>
              </w:rPr>
              <w:t>Second by:</w:t>
            </w:r>
          </w:p>
        </w:tc>
        <w:tc>
          <w:tcPr>
            <w:tcW w:w="2700" w:type="dxa"/>
            <w:gridSpan w:val="2"/>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p w:rsidR="00271718" w:rsidRPr="00121977" w:rsidRDefault="00271718" w:rsidP="009D508E">
            <w:pPr>
              <w:spacing w:after="0"/>
              <w:rPr>
                <w:rFonts w:ascii="Times New Roman" w:eastAsia="Times New Roman" w:hAnsi="Times New Roman" w:cs="Times New Roman"/>
                <w:sz w:val="22"/>
                <w:szCs w:val="22"/>
              </w:rPr>
            </w:pPr>
          </w:p>
        </w:tc>
      </w:tr>
      <w:tr w:rsidR="00271718" w:rsidRPr="00121977" w:rsidTr="009D508E">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42D14" w:rsidRDefault="00B42D14" w:rsidP="009D508E">
            <w:pPr>
              <w:spacing w:after="0"/>
              <w:rPr>
                <w:rFonts w:eastAsia="Times New Roman"/>
                <w:b/>
                <w:smallCaps/>
                <w:sz w:val="22"/>
                <w:szCs w:val="20"/>
              </w:rPr>
            </w:pPr>
          </w:p>
          <w:p w:rsidR="00B42D14" w:rsidRPr="00121977" w:rsidRDefault="00271718" w:rsidP="00B42D14">
            <w:pPr>
              <w:spacing w:after="0"/>
              <w:rPr>
                <w:rFonts w:eastAsia="Times New Roman"/>
                <w:b/>
                <w:smallCaps/>
                <w:sz w:val="20"/>
                <w:szCs w:val="20"/>
              </w:rPr>
            </w:pPr>
            <w:r w:rsidRPr="00121977">
              <w:rPr>
                <w:rFonts w:eastAsia="Times New Roman"/>
                <w:b/>
                <w:smallCaps/>
                <w:sz w:val="22"/>
                <w:szCs w:val="20"/>
              </w:rPr>
              <w:t>JORDAN</w:t>
            </w:r>
            <w:bookmarkStart w:id="0" w:name="_GoBack"/>
            <w:bookmarkEnd w:id="0"/>
          </w:p>
        </w:tc>
        <w:tc>
          <w:tcPr>
            <w:tcW w:w="676" w:type="dxa"/>
            <w:tcBorders>
              <w:top w:val="single" w:sz="4" w:space="0" w:color="auto"/>
              <w:left w:val="nil"/>
              <w:bottom w:val="single" w:sz="4" w:space="0" w:color="auto"/>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b/>
                <w:bCs/>
                <w:sz w:val="22"/>
                <w:szCs w:val="22"/>
                <w:u w:val="single"/>
              </w:rPr>
            </w:pPr>
          </w:p>
        </w:tc>
        <w:tc>
          <w:tcPr>
            <w:tcW w:w="1309"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2"/>
                <w:szCs w:val="22"/>
              </w:rPr>
            </w:pPr>
            <w:r w:rsidRPr="00121977">
              <w:rPr>
                <w:rFonts w:ascii="Times New Roman" w:eastAsia="Times New Roman" w:hAnsi="Times New Roman" w:cs="Times New Roman"/>
                <w:sz w:val="22"/>
                <w:szCs w:val="22"/>
              </w:rPr>
              <w:t> </w:t>
            </w:r>
          </w:p>
        </w:tc>
        <w:tc>
          <w:tcPr>
            <w:tcW w:w="1391" w:type="dxa"/>
            <w:tcBorders>
              <w:top w:val="nil"/>
              <w:left w:val="nil"/>
              <w:bottom w:val="single" w:sz="4" w:space="0" w:color="auto"/>
              <w:right w:val="nil"/>
            </w:tcBorders>
            <w:shd w:val="clear" w:color="auto" w:fill="auto"/>
            <w:noWrap/>
            <w:vAlign w:val="bottom"/>
          </w:tcPr>
          <w:p w:rsidR="00271718" w:rsidRPr="00121977" w:rsidRDefault="00271718" w:rsidP="009D508E">
            <w:pPr>
              <w:spacing w:after="0"/>
              <w:rPr>
                <w:rFonts w:ascii="Times New Roman" w:eastAsia="Times New Roman" w:hAnsi="Times New Roman" w:cs="Times New Roman"/>
                <w:sz w:val="20"/>
                <w:szCs w:val="20"/>
              </w:rPr>
            </w:pPr>
            <w:r w:rsidRPr="00121977">
              <w:rPr>
                <w:rFonts w:ascii="Times New Roman" w:eastAsia="Times New Roman" w:hAnsi="Times New Roman" w:cs="Times New Roman"/>
                <w:sz w:val="20"/>
                <w:szCs w:val="20"/>
              </w:rPr>
              <w:t> </w:t>
            </w:r>
          </w:p>
        </w:tc>
      </w:tr>
      <w:tr w:rsidR="00271718" w:rsidRPr="00121977" w:rsidTr="009D508E">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271718" w:rsidRPr="00121977" w:rsidRDefault="00271718" w:rsidP="009D508E">
            <w:pPr>
              <w:spacing w:after="0"/>
              <w:rPr>
                <w:rFonts w:eastAsia="Times New Roman"/>
                <w:b/>
                <w:smallCaps/>
                <w:sz w:val="20"/>
                <w:szCs w:val="20"/>
              </w:rPr>
            </w:pPr>
            <w:r w:rsidRPr="00121977">
              <w:rPr>
                <w:rFonts w:eastAsia="Times New Roman"/>
                <w:b/>
                <w:smallCaps/>
                <w:szCs w:val="20"/>
              </w:rPr>
              <w:t>BARTOLOMEO</w:t>
            </w:r>
          </w:p>
        </w:tc>
        <w:tc>
          <w:tcPr>
            <w:tcW w:w="676" w:type="dxa"/>
            <w:tcBorders>
              <w:top w:val="nil"/>
              <w:left w:val="nil"/>
              <w:bottom w:val="single" w:sz="8" w:space="0" w:color="auto"/>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271718" w:rsidRPr="00121977" w:rsidRDefault="00271718" w:rsidP="009D508E">
            <w:pPr>
              <w:spacing w:after="0"/>
              <w:rPr>
                <w:rFonts w:eastAsia="Times New Roman"/>
                <w:sz w:val="20"/>
                <w:szCs w:val="20"/>
              </w:rPr>
            </w:pPr>
            <w:r w:rsidRPr="00121977">
              <w:rPr>
                <w:rFonts w:eastAsia="Times New Roman"/>
                <w:sz w:val="20"/>
                <w:szCs w:val="20"/>
              </w:rPr>
              <w:t> </w:t>
            </w:r>
          </w:p>
        </w:tc>
        <w:tc>
          <w:tcPr>
            <w:tcW w:w="293"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271718" w:rsidRPr="00121977" w:rsidRDefault="00271718" w:rsidP="009D508E">
            <w:pPr>
              <w:spacing w:after="0"/>
              <w:rPr>
                <w:rFonts w:eastAsia="Times New Roman"/>
                <w:sz w:val="20"/>
                <w:szCs w:val="20"/>
              </w:rPr>
            </w:pPr>
          </w:p>
        </w:tc>
      </w:tr>
    </w:tbl>
    <w:p w:rsidR="00271718" w:rsidRPr="005759C3" w:rsidRDefault="00271718" w:rsidP="00271718">
      <w:pPr>
        <w:spacing w:after="0"/>
        <w:ind w:left="-630"/>
        <w:jc w:val="both"/>
        <w:rPr>
          <w:rFonts w:ascii="Times New Roman" w:eastAsia="Calibri" w:hAnsi="Times New Roman" w:cs="Times New Roman"/>
          <w:sz w:val="22"/>
          <w:szCs w:val="22"/>
        </w:rPr>
      </w:pPr>
      <w:r w:rsidRPr="005759C3">
        <w:rPr>
          <w:rFonts w:ascii="Times New Roman" w:eastAsia="Calibri" w:hAnsi="Times New Roman" w:cs="Times New Roman"/>
          <w:sz w:val="22"/>
          <w:szCs w:val="22"/>
        </w:rPr>
        <w:tab/>
      </w:r>
    </w:p>
    <w:p w:rsidR="00271718" w:rsidRPr="00271718" w:rsidRDefault="00271718" w:rsidP="00271718">
      <w:pPr>
        <w:tabs>
          <w:tab w:val="left" w:pos="7650"/>
        </w:tabs>
        <w:spacing w:after="0"/>
        <w:ind w:left="1710" w:right="1710"/>
        <w:jc w:val="both"/>
        <w:rPr>
          <w:rFonts w:ascii="Times New Roman" w:eastAsia="Cambria" w:hAnsi="Times New Roman" w:cs="Times New Roman"/>
          <w:b/>
          <w:color w:val="000000"/>
        </w:rPr>
      </w:pPr>
      <w:r w:rsidRPr="00271718">
        <w:rPr>
          <w:rFonts w:ascii="Times New Roman" w:eastAsia="Cambria" w:hAnsi="Times New Roman" w:cs="Times New Roman"/>
          <w:b/>
          <w:color w:val="000000"/>
        </w:rPr>
        <w:t>RESOLUTION OF THE BOROUGH OF EDGEWATER DIRECTING THE UNDERTAKING OF A CONTINUING DISCLOSURE REVIEW AND AUTHORIZING PARTICIPATION IN THE MUNICIPALITIES CONTINUING DISCLOSURE COOPERATION INITIATIVE OF THE SECURITIES AND EXCHANGE COMMISSION</w:t>
      </w:r>
    </w:p>
    <w:p w:rsidR="00271718" w:rsidRPr="00271718" w:rsidRDefault="00271718" w:rsidP="00271718">
      <w:pPr>
        <w:tabs>
          <w:tab w:val="left" w:pos="7650"/>
        </w:tabs>
        <w:spacing w:after="0"/>
        <w:ind w:left="1710" w:right="1710"/>
        <w:jc w:val="both"/>
        <w:rPr>
          <w:rFonts w:ascii="Times New Roman" w:eastAsia="Cambria" w:hAnsi="Times New Roman" w:cs="Times New Roman"/>
          <w:b/>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 xml:space="preserve">WHEREAS, </w:t>
      </w:r>
      <w:r w:rsidRPr="00271718">
        <w:rPr>
          <w:rFonts w:ascii="Times New Roman" w:eastAsia="Cambria" w:hAnsi="Times New Roman" w:cs="Times New Roman"/>
          <w:color w:val="000000"/>
        </w:rPr>
        <w:t>the Borough of Edgewater, in the County of Bergen, New Jersey (the "Issuer") has previously issued, or was an “obligated person” in connection with, one or more series of bonds and notes (“Obligations”), including Obligations issued in the past five (5) years pursuant to one or more preliminary and final official statements; and</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xml:space="preserve"> in connection with the issuance of the Obligations, the Issuer agreed, pursuant to Rule 15c2-12 (the “Rule”) of the Securities and Exchange Commission (the "SEC"), to provide certain information to the former nationally recognized municipal securities information repositories or to the Municipal Securities Rulemaking Board's Electronic Municipal Market Access system, including, but not limited to, audited financial statements, certain financial information and operating data and notices of ratings changes and other events; and</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xml:space="preserve"> the SEC has recently focused on what it believes is widespread failure of local government issuers across the nation to meet their continuing disclosure obligations and misrepresentations in official statements of past compliance with continuing disclosure obligations; and   </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xml:space="preserve">, in an effort to remedy these perceived issues, the SEC has implemented the Municipalities Continuing Disclosure Cooperation Initiative (the "MCDC Initiative"), a program currently scheduled to end for issuers at 12:00 a.m. on December 1, 2014, that encourages </w:t>
      </w:r>
      <w:r w:rsidRPr="00271718">
        <w:rPr>
          <w:rFonts w:ascii="Times New Roman" w:eastAsia="Cambria" w:hAnsi="Times New Roman" w:cs="Times New Roman"/>
          <w:color w:val="000000"/>
        </w:rPr>
        <w:lastRenderedPageBreak/>
        <w:t>issuers of municipal bonds and notes to self-report possible material misstatements or omissions made in the past five (5) years in an official statement or statements regarding compliance with prior continuing disclosure undertakings; and</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xml:space="preserve"> by participating in the MCDC Initiative, issuers agree to accept certain non-monetary penalties; and</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sz w:val="23"/>
          <w:szCs w:val="23"/>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xml:space="preserve">, recently, the Division of Local Government Services issued Local Finance Notice 2014-9 warning </w:t>
      </w:r>
      <w:r w:rsidRPr="00271718">
        <w:rPr>
          <w:rFonts w:ascii="Times New Roman" w:eastAsia="Cambria" w:hAnsi="Times New Roman" w:cs="Times New Roman"/>
          <w:color w:val="000000"/>
          <w:sz w:val="23"/>
          <w:szCs w:val="23"/>
        </w:rPr>
        <w:t>local government officials of possible consequences for failing to identify past noncompliance with continuing disclosure requirements and determining whether to take advantage of the MCDC Initiative, and recommending that local government officials proactively take steps to self-identify their own levels of compliance with their continuing disclosure undertakings and consult their public finance professionals to determine if it is advisable to participate in the MCDC Initiative; and</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the Issuer desires to conduct a disclosure review which will (i) summarize the results of the Issuer's prior compliance with its secondary market disclosure obligations and (ii) compare those results to the statements made by the Issuer in the last five (5) years in its official statement or statements regarding past compliance (the "Disclosure Review"); and</w:t>
      </w:r>
    </w:p>
    <w:p w:rsidR="00271718" w:rsidRPr="00271718" w:rsidRDefault="00271718" w:rsidP="00271718">
      <w:pPr>
        <w:spacing w:after="0"/>
        <w:ind w:firstLine="720"/>
        <w:jc w:val="both"/>
        <w:rPr>
          <w:rFonts w:ascii="Times New Roman" w:eastAsia="Cambria" w:hAnsi="Times New Roman" w:cs="Times New Roman"/>
          <w:color w:val="000000"/>
        </w:rPr>
      </w:pPr>
    </w:p>
    <w:p w:rsidR="00271718" w:rsidRPr="00271718" w:rsidRDefault="00271718" w:rsidP="00271718">
      <w:pPr>
        <w:spacing w:after="0"/>
        <w:ind w:firstLine="720"/>
        <w:jc w:val="both"/>
        <w:rPr>
          <w:rFonts w:ascii="Times New Roman" w:eastAsia="Cambria" w:hAnsi="Times New Roman" w:cs="Times New Roman"/>
          <w:color w:val="000000"/>
        </w:rPr>
      </w:pPr>
      <w:r w:rsidRPr="00271718">
        <w:rPr>
          <w:rFonts w:ascii="Times New Roman" w:eastAsia="Cambria" w:hAnsi="Times New Roman" w:cs="Times New Roman"/>
          <w:b/>
          <w:color w:val="000000"/>
        </w:rPr>
        <w:t>WHEREAS,</w:t>
      </w:r>
      <w:r w:rsidRPr="00271718">
        <w:rPr>
          <w:rFonts w:ascii="Times New Roman" w:eastAsia="Cambria" w:hAnsi="Times New Roman" w:cs="Times New Roman"/>
          <w:color w:val="000000"/>
        </w:rPr>
        <w:t xml:space="preserve"> based on the results of the Disclosure Review, the Issuer further desires to delegate to the Chief Financial Officer, in consultation with the Issuer's general counsel, bond counsel, financial advisor, auditor and other finance professionals, the authority to prepare and submit all documentation required to enter the Issuer's bond and note issues into the MCDC Initiative, as necessary.</w:t>
      </w:r>
    </w:p>
    <w:p w:rsidR="00271718" w:rsidRPr="00271718" w:rsidRDefault="00271718" w:rsidP="00271718">
      <w:pPr>
        <w:tabs>
          <w:tab w:val="left" w:pos="720"/>
          <w:tab w:val="left" w:pos="144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9360"/>
        </w:tabs>
        <w:spacing w:after="0"/>
        <w:jc w:val="both"/>
        <w:rPr>
          <w:rFonts w:ascii="Times New Roman" w:eastAsia="Cambria" w:hAnsi="Times New Roman" w:cs="Times New Roman"/>
          <w:b/>
          <w:color w:val="000000"/>
        </w:rPr>
      </w:pPr>
      <w:r w:rsidRPr="00271718">
        <w:rPr>
          <w:rFonts w:ascii="Times New Roman" w:eastAsia="Cambria" w:hAnsi="Times New Roman" w:cs="Times New Roman"/>
          <w:color w:val="000000"/>
        </w:rPr>
        <w:tab/>
      </w:r>
      <w:r w:rsidRPr="00271718">
        <w:rPr>
          <w:rFonts w:ascii="Times New Roman" w:eastAsia="Cambria" w:hAnsi="Times New Roman" w:cs="Times New Roman"/>
          <w:b/>
          <w:color w:val="000000"/>
        </w:rPr>
        <w:t>NOW, THEREFORE, BE IT RESOLVED BY THE GOVERNING BODY OF THE BOROUGH OF EDGEWATER, IN THE COUNTY OF BERGEN, NEW JERSEY, AS FOLLOWS:</w:t>
      </w:r>
    </w:p>
    <w:p w:rsidR="00271718" w:rsidRPr="00271718" w:rsidRDefault="00271718" w:rsidP="00271718">
      <w:pPr>
        <w:tabs>
          <w:tab w:val="left" w:pos="720"/>
          <w:tab w:val="left" w:pos="1440"/>
          <w:tab w:val="left" w:pos="9360"/>
        </w:tabs>
        <w:spacing w:after="0"/>
        <w:jc w:val="both"/>
        <w:rPr>
          <w:rFonts w:ascii="Times New Roman" w:eastAsia="Cambria" w:hAnsi="Times New Roman" w:cs="Times New Roman"/>
          <w:b/>
          <w:color w:val="000000"/>
        </w:rPr>
      </w:pP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b/>
          <w:color w:val="000000"/>
        </w:rPr>
        <w:tab/>
      </w:r>
      <w:r w:rsidRPr="00271718">
        <w:rPr>
          <w:rFonts w:ascii="Times New Roman" w:eastAsia="Cambria" w:hAnsi="Times New Roman" w:cs="Times New Roman"/>
          <w:b/>
          <w:color w:val="000000"/>
          <w:u w:val="single"/>
        </w:rPr>
        <w:t>Section 1.</w:t>
      </w:r>
      <w:r w:rsidRPr="00271718">
        <w:rPr>
          <w:rFonts w:ascii="Times New Roman" w:eastAsia="Cambria" w:hAnsi="Times New Roman" w:cs="Times New Roman"/>
          <w:color w:val="000000"/>
        </w:rPr>
        <w:tab/>
        <w:t>The Issuer hereby determines to undertake a Disclosure Review, and directs its Chief Financial Officer to undertake same with the assistance of the Issuer’s general counsel, auditor, bond counsel and financial advisor.</w:t>
      </w: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color w:val="000000"/>
        </w:rPr>
        <w:tab/>
      </w:r>
      <w:r w:rsidRPr="00271718">
        <w:rPr>
          <w:rFonts w:ascii="Times New Roman" w:eastAsia="Cambria" w:hAnsi="Times New Roman" w:cs="Times New Roman"/>
          <w:b/>
          <w:color w:val="000000"/>
          <w:u w:val="single"/>
        </w:rPr>
        <w:t>Section 2.</w:t>
      </w:r>
      <w:r w:rsidRPr="00271718">
        <w:rPr>
          <w:rFonts w:ascii="Times New Roman" w:eastAsia="Cambria" w:hAnsi="Times New Roman" w:cs="Times New Roman"/>
          <w:b/>
          <w:color w:val="000000"/>
        </w:rPr>
        <w:tab/>
      </w:r>
      <w:r w:rsidRPr="00271718">
        <w:rPr>
          <w:rFonts w:ascii="Times New Roman" w:eastAsia="Cambria" w:hAnsi="Times New Roman" w:cs="Times New Roman"/>
          <w:color w:val="000000"/>
        </w:rPr>
        <w:t>The Chief Financial Officer of the Issuer is hereby authorized and delegated the authority to determine if the Issuer shall participate in the MCDC Initiative if, after consultation with the Issuer’s officials and professionals, it is determined that the Issuer may have made materially inaccurate statements in its bond and/or note offering documents relating to prior compliance with continuing disclosure obligations pursuant to the Rule in connection with its obligations issued during the last five (5) years prior.</w:t>
      </w: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color w:val="000000"/>
        </w:rPr>
        <w:tab/>
      </w:r>
      <w:r w:rsidRPr="00271718">
        <w:rPr>
          <w:rFonts w:ascii="Times New Roman" w:eastAsia="Cambria" w:hAnsi="Times New Roman" w:cs="Times New Roman"/>
          <w:b/>
          <w:color w:val="000000"/>
          <w:u w:val="single"/>
        </w:rPr>
        <w:t>Section 3.</w:t>
      </w:r>
      <w:r w:rsidRPr="00271718">
        <w:rPr>
          <w:rFonts w:ascii="Times New Roman" w:eastAsia="Cambria" w:hAnsi="Times New Roman" w:cs="Times New Roman"/>
          <w:color w:val="000000"/>
        </w:rPr>
        <w:tab/>
        <w:t>The Chief Financial Officer of the Issuer is hereby authorized to execute and deliver any and all documents and instruments, including the Municipalities Continuing Disclosure Cooperation Initiative Questionnaire for Self-Reporting Entities contained in the MCDC Initiative, and to do and cause to be done any and all acts and things necessary or proper for participating in the MCDC Initiative and all related transactions, including the Disclosure Review, contemplated by this resolution.</w:t>
      </w: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color w:val="000000"/>
        </w:rPr>
        <w:tab/>
      </w:r>
      <w:r w:rsidRPr="00271718">
        <w:rPr>
          <w:rFonts w:ascii="Times New Roman" w:eastAsia="Cambria" w:hAnsi="Times New Roman" w:cs="Times New Roman"/>
          <w:b/>
          <w:color w:val="000000"/>
          <w:u w:val="single"/>
        </w:rPr>
        <w:t>Section 4.</w:t>
      </w:r>
      <w:r w:rsidRPr="00271718">
        <w:rPr>
          <w:rFonts w:ascii="Times New Roman" w:eastAsia="Cambria" w:hAnsi="Times New Roman" w:cs="Times New Roman"/>
          <w:color w:val="000000"/>
        </w:rPr>
        <w:tab/>
        <w:t>Any action taken by the Chief Financial Officer, or any other officer or employee of the Issuer, with respect to the Disclosure Review, the engagement of a disclosure specialist and participation in the MCDC Initiative is hereby ratified and confirmed.</w:t>
      </w: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color w:val="000000"/>
        </w:rPr>
        <w:tab/>
      </w:r>
      <w:r w:rsidRPr="00271718">
        <w:rPr>
          <w:rFonts w:ascii="Times New Roman" w:eastAsia="Cambria" w:hAnsi="Times New Roman" w:cs="Times New Roman"/>
          <w:b/>
          <w:color w:val="000000"/>
          <w:u w:val="single"/>
        </w:rPr>
        <w:t>Section 5.</w:t>
      </w:r>
      <w:r w:rsidRPr="00271718">
        <w:rPr>
          <w:rFonts w:ascii="Times New Roman" w:eastAsia="Cambria" w:hAnsi="Times New Roman" w:cs="Times New Roman"/>
          <w:color w:val="000000"/>
        </w:rPr>
        <w:tab/>
        <w:t>This resolution shall take effect immediately.</w:t>
      </w: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648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color w:val="000000"/>
        </w:rPr>
        <w:t xml:space="preserve">The foregoing is a true copy of the Resolution adopted by the governing body of the Borough of Edgewater at a meeting thereof duly called and held on </w:t>
      </w:r>
      <w:r>
        <w:rPr>
          <w:rFonts w:ascii="Times New Roman" w:eastAsia="Cambria" w:hAnsi="Times New Roman" w:cs="Times New Roman"/>
          <w:color w:val="000000"/>
        </w:rPr>
        <w:t>August 11, 2014.</w:t>
      </w:r>
    </w:p>
    <w:p w:rsidR="00271718" w:rsidRPr="00271718" w:rsidRDefault="00271718" w:rsidP="00271718">
      <w:pPr>
        <w:tabs>
          <w:tab w:val="left" w:pos="720"/>
          <w:tab w:val="left" w:pos="1440"/>
          <w:tab w:val="left" w:pos="2160"/>
          <w:tab w:val="left" w:pos="648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6480"/>
          <w:tab w:val="left" w:pos="9360"/>
        </w:tabs>
        <w:spacing w:after="0"/>
        <w:jc w:val="both"/>
        <w:rPr>
          <w:rFonts w:ascii="Times New Roman" w:eastAsia="Cambria" w:hAnsi="Times New Roman" w:cs="Times New Roman"/>
          <w:color w:val="000000"/>
        </w:rPr>
      </w:pPr>
    </w:p>
    <w:p w:rsidR="00271718" w:rsidRPr="00271718" w:rsidRDefault="00271718" w:rsidP="00271718">
      <w:pPr>
        <w:tabs>
          <w:tab w:val="left" w:pos="720"/>
          <w:tab w:val="left" w:pos="1440"/>
          <w:tab w:val="left" w:pos="2160"/>
          <w:tab w:val="left" w:pos="5220"/>
          <w:tab w:val="left" w:pos="9360"/>
        </w:tabs>
        <w:spacing w:after="0"/>
        <w:jc w:val="both"/>
        <w:rPr>
          <w:rFonts w:ascii="Times New Roman" w:eastAsia="Cambria" w:hAnsi="Times New Roman" w:cs="Times New Roman"/>
          <w:color w:val="000000"/>
        </w:rPr>
      </w:pPr>
      <w:r w:rsidRPr="00271718">
        <w:rPr>
          <w:rFonts w:ascii="Times New Roman" w:eastAsia="Cambria" w:hAnsi="Times New Roman" w:cs="Times New Roman"/>
          <w:color w:val="000000"/>
        </w:rPr>
        <w:tab/>
      </w:r>
      <w:r w:rsidRPr="00271718">
        <w:rPr>
          <w:rFonts w:ascii="Times New Roman" w:eastAsia="Cambria" w:hAnsi="Times New Roman" w:cs="Times New Roman"/>
          <w:color w:val="000000"/>
        </w:rPr>
        <w:tab/>
      </w:r>
      <w:r w:rsidRPr="00271718">
        <w:rPr>
          <w:rFonts w:ascii="Times New Roman" w:eastAsia="Cambria" w:hAnsi="Times New Roman" w:cs="Times New Roman"/>
          <w:color w:val="000000"/>
        </w:rPr>
        <w:tab/>
      </w:r>
      <w:r w:rsidRPr="00271718">
        <w:rPr>
          <w:rFonts w:ascii="Times New Roman" w:eastAsia="Cambria" w:hAnsi="Times New Roman" w:cs="Times New Roman"/>
          <w:color w:val="000000"/>
        </w:rPr>
        <w:tab/>
      </w:r>
    </w:p>
    <w:p w:rsidR="00271718" w:rsidRPr="00121977" w:rsidRDefault="00271718" w:rsidP="00271718">
      <w:pPr>
        <w:tabs>
          <w:tab w:val="center" w:pos="4257"/>
        </w:tabs>
        <w:spacing w:after="0"/>
        <w:rPr>
          <w:rFonts w:ascii="Times New Roman" w:eastAsia="Times New Roman" w:hAnsi="Times New Roman" w:cs="Times New Roman"/>
          <w:szCs w:val="20"/>
        </w:rPr>
      </w:pP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t xml:space="preserve">____________________________ </w:t>
      </w:r>
    </w:p>
    <w:p w:rsidR="00271718" w:rsidRPr="00121977" w:rsidRDefault="00271718" w:rsidP="00271718">
      <w:pPr>
        <w:tabs>
          <w:tab w:val="center" w:pos="4257"/>
        </w:tabs>
        <w:spacing w:after="0"/>
        <w:rPr>
          <w:rFonts w:ascii="Times New Roman" w:eastAsia="Times New Roman" w:hAnsi="Times New Roman" w:cs="Times New Roman"/>
          <w:szCs w:val="20"/>
        </w:rPr>
      </w:pP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t>BARBARA RAE, RMC, CMC</w:t>
      </w:r>
    </w:p>
    <w:p w:rsidR="00271718" w:rsidRDefault="00271718" w:rsidP="00271718">
      <w:pPr>
        <w:tabs>
          <w:tab w:val="center" w:pos="4257"/>
        </w:tabs>
        <w:spacing w:after="0"/>
      </w:pP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r>
      <w:r w:rsidRPr="00121977">
        <w:rPr>
          <w:rFonts w:ascii="Times New Roman" w:eastAsia="Times New Roman" w:hAnsi="Times New Roman" w:cs="Times New Roman"/>
          <w:szCs w:val="20"/>
        </w:rPr>
        <w:tab/>
        <w:t>Borough Clerk</w:t>
      </w:r>
    </w:p>
    <w:p w:rsidR="00271718" w:rsidRPr="00271718" w:rsidRDefault="00271718" w:rsidP="00271718">
      <w:pPr>
        <w:tabs>
          <w:tab w:val="left" w:pos="720"/>
          <w:tab w:val="left" w:pos="1440"/>
          <w:tab w:val="left" w:pos="2160"/>
          <w:tab w:val="left" w:pos="6480"/>
          <w:tab w:val="left" w:pos="9360"/>
        </w:tabs>
        <w:spacing w:after="0"/>
        <w:jc w:val="both"/>
        <w:rPr>
          <w:rFonts w:ascii="Times New Roman" w:eastAsia="Cambria" w:hAnsi="Times New Roman" w:cs="Times New Roman"/>
          <w:color w:val="000000"/>
          <w:u w:val="single"/>
        </w:rPr>
      </w:pPr>
    </w:p>
    <w:sectPr w:rsidR="00271718" w:rsidRPr="00271718" w:rsidSect="002717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718" w:rsidRDefault="00271718" w:rsidP="00271718">
      <w:pPr>
        <w:spacing w:after="0"/>
      </w:pPr>
      <w:r>
        <w:separator/>
      </w:r>
    </w:p>
  </w:endnote>
  <w:endnote w:type="continuationSeparator" w:id="0">
    <w:p w:rsidR="00271718" w:rsidRDefault="00271718" w:rsidP="00271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058564"/>
      <w:docPartObj>
        <w:docPartGallery w:val="Page Numbers (Bottom of Page)"/>
        <w:docPartUnique/>
      </w:docPartObj>
    </w:sdtPr>
    <w:sdtEndPr>
      <w:rPr>
        <w:noProof/>
      </w:rPr>
    </w:sdtEndPr>
    <w:sdtContent>
      <w:p w:rsidR="00271718" w:rsidRDefault="00271718">
        <w:pPr>
          <w:pStyle w:val="Footer"/>
          <w:jc w:val="right"/>
        </w:pPr>
        <w:r>
          <w:fldChar w:fldCharType="begin"/>
        </w:r>
        <w:r>
          <w:instrText xml:space="preserve"> PAGE   \* MERGEFORMAT </w:instrText>
        </w:r>
        <w:r>
          <w:fldChar w:fldCharType="separate"/>
        </w:r>
        <w:r w:rsidR="00B42D14">
          <w:rPr>
            <w:noProof/>
          </w:rPr>
          <w:t>1</w:t>
        </w:r>
        <w:r>
          <w:rPr>
            <w:noProof/>
          </w:rPr>
          <w:fldChar w:fldCharType="end"/>
        </w:r>
      </w:p>
    </w:sdtContent>
  </w:sdt>
  <w:p w:rsidR="00271718" w:rsidRDefault="00271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718" w:rsidRDefault="00271718" w:rsidP="00271718">
      <w:pPr>
        <w:spacing w:after="0"/>
      </w:pPr>
      <w:r>
        <w:separator/>
      </w:r>
    </w:p>
  </w:footnote>
  <w:footnote w:type="continuationSeparator" w:id="0">
    <w:p w:rsidR="00271718" w:rsidRDefault="00271718" w:rsidP="002717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18"/>
    <w:rsid w:val="001A525E"/>
    <w:rsid w:val="00271718"/>
    <w:rsid w:val="006C191C"/>
    <w:rsid w:val="00790718"/>
    <w:rsid w:val="00A8507A"/>
    <w:rsid w:val="00B4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718"/>
    <w:pPr>
      <w:tabs>
        <w:tab w:val="center" w:pos="4680"/>
        <w:tab w:val="right" w:pos="9360"/>
      </w:tabs>
      <w:spacing w:after="0"/>
    </w:pPr>
  </w:style>
  <w:style w:type="character" w:customStyle="1" w:styleId="HeaderChar">
    <w:name w:val="Header Char"/>
    <w:basedOn w:val="DefaultParagraphFont"/>
    <w:link w:val="Header"/>
    <w:uiPriority w:val="99"/>
    <w:rsid w:val="00271718"/>
  </w:style>
  <w:style w:type="paragraph" w:styleId="Footer">
    <w:name w:val="footer"/>
    <w:basedOn w:val="Normal"/>
    <w:link w:val="FooterChar"/>
    <w:uiPriority w:val="99"/>
    <w:unhideWhenUsed/>
    <w:rsid w:val="00271718"/>
    <w:pPr>
      <w:tabs>
        <w:tab w:val="center" w:pos="4680"/>
        <w:tab w:val="right" w:pos="9360"/>
      </w:tabs>
      <w:spacing w:after="0"/>
    </w:pPr>
  </w:style>
  <w:style w:type="character" w:customStyle="1" w:styleId="FooterChar">
    <w:name w:val="Footer Char"/>
    <w:basedOn w:val="DefaultParagraphFont"/>
    <w:link w:val="Footer"/>
    <w:uiPriority w:val="99"/>
    <w:rsid w:val="00271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718"/>
    <w:pPr>
      <w:tabs>
        <w:tab w:val="center" w:pos="4680"/>
        <w:tab w:val="right" w:pos="9360"/>
      </w:tabs>
      <w:spacing w:after="0"/>
    </w:pPr>
  </w:style>
  <w:style w:type="character" w:customStyle="1" w:styleId="HeaderChar">
    <w:name w:val="Header Char"/>
    <w:basedOn w:val="DefaultParagraphFont"/>
    <w:link w:val="Header"/>
    <w:uiPriority w:val="99"/>
    <w:rsid w:val="00271718"/>
  </w:style>
  <w:style w:type="paragraph" w:styleId="Footer">
    <w:name w:val="footer"/>
    <w:basedOn w:val="Normal"/>
    <w:link w:val="FooterChar"/>
    <w:uiPriority w:val="99"/>
    <w:unhideWhenUsed/>
    <w:rsid w:val="00271718"/>
    <w:pPr>
      <w:tabs>
        <w:tab w:val="center" w:pos="4680"/>
        <w:tab w:val="right" w:pos="9360"/>
      </w:tabs>
      <w:spacing w:after="0"/>
    </w:pPr>
  </w:style>
  <w:style w:type="character" w:customStyle="1" w:styleId="FooterChar">
    <w:name w:val="Footer Char"/>
    <w:basedOn w:val="DefaultParagraphFont"/>
    <w:link w:val="Footer"/>
    <w:uiPriority w:val="99"/>
    <w:rsid w:val="0027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05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2014-08-06T19:09:00Z</dcterms:created>
  <dcterms:modified xsi:type="dcterms:W3CDTF">2014-08-06T19:19:00Z</dcterms:modified>
</cp:coreProperties>
</file>