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35" w:type="dxa"/>
        <w:tblInd w:w="-517" w:type="dxa"/>
        <w:tblLook w:val="04A0" w:firstRow="1" w:lastRow="0" w:firstColumn="1" w:lastColumn="0" w:noHBand="0" w:noVBand="1"/>
      </w:tblPr>
      <w:tblGrid>
        <w:gridCol w:w="2056"/>
        <w:gridCol w:w="676"/>
        <w:gridCol w:w="638"/>
        <w:gridCol w:w="1216"/>
        <w:gridCol w:w="1977"/>
        <w:gridCol w:w="293"/>
        <w:gridCol w:w="1424"/>
        <w:gridCol w:w="1309"/>
        <w:gridCol w:w="1246"/>
      </w:tblGrid>
      <w:tr w:rsidR="002F23AA" w:rsidTr="002F23AA">
        <w:trPr>
          <w:trHeight w:val="390"/>
        </w:trPr>
        <w:tc>
          <w:tcPr>
            <w:tcW w:w="2056" w:type="dxa"/>
            <w:noWrap/>
            <w:vAlign w:val="bottom"/>
          </w:tcPr>
          <w:p w:rsidR="002F23AA" w:rsidRDefault="002F23AA" w:rsidP="008057B1">
            <w:pPr>
              <w:rPr>
                <w:rFonts w:ascii="Arial" w:hAnsi="Arial" w:cs="Arial"/>
                <w:sz w:val="20"/>
                <w:szCs w:val="20"/>
              </w:rPr>
            </w:pPr>
            <w:r>
              <w:rPr>
                <w:noProof/>
              </w:rPr>
              <w:drawing>
                <wp:anchor distT="0" distB="0" distL="114300" distR="114300" simplePos="0" relativeHeight="251659264" behindDoc="0" locked="0" layoutInCell="1" allowOverlap="1" wp14:anchorId="77AED668" wp14:editId="09644ED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F23AA" w:rsidTr="008057B1">
              <w:trPr>
                <w:trHeight w:val="390"/>
                <w:tblCellSpacing w:w="0" w:type="dxa"/>
              </w:trPr>
              <w:tc>
                <w:tcPr>
                  <w:tcW w:w="1840" w:type="dxa"/>
                  <w:noWrap/>
                  <w:vAlign w:val="bottom"/>
                </w:tcPr>
                <w:p w:rsidR="002F23AA" w:rsidRDefault="002F23AA" w:rsidP="008057B1">
                  <w:pPr>
                    <w:rPr>
                      <w:rFonts w:ascii="Arial" w:hAnsi="Arial" w:cs="Arial"/>
                      <w:sz w:val="20"/>
                      <w:szCs w:val="20"/>
                    </w:rPr>
                  </w:pPr>
                </w:p>
              </w:tc>
            </w:tr>
          </w:tbl>
          <w:p w:rsidR="002F23AA" w:rsidRDefault="002F23AA" w:rsidP="008057B1">
            <w:pPr>
              <w:rPr>
                <w:rFonts w:ascii="Arial" w:hAnsi="Arial" w:cs="Arial"/>
                <w:sz w:val="20"/>
                <w:szCs w:val="20"/>
              </w:rPr>
            </w:pPr>
          </w:p>
        </w:tc>
        <w:tc>
          <w:tcPr>
            <w:tcW w:w="676" w:type="dxa"/>
            <w:noWrap/>
            <w:vAlign w:val="bottom"/>
          </w:tcPr>
          <w:p w:rsidR="002F23AA" w:rsidRDefault="002F23AA" w:rsidP="008057B1">
            <w:pPr>
              <w:jc w:val="center"/>
              <w:rPr>
                <w:rFonts w:ascii="Arial Black" w:hAnsi="Arial Black" w:cs="Arial"/>
                <w:b/>
                <w:bCs/>
              </w:rPr>
            </w:pPr>
          </w:p>
        </w:tc>
        <w:tc>
          <w:tcPr>
            <w:tcW w:w="638" w:type="dxa"/>
            <w:noWrap/>
            <w:vAlign w:val="bottom"/>
          </w:tcPr>
          <w:p w:rsidR="002F23AA" w:rsidRDefault="002F23AA" w:rsidP="008057B1">
            <w:pPr>
              <w:jc w:val="center"/>
              <w:rPr>
                <w:rFonts w:ascii="Arial Black" w:hAnsi="Arial Black" w:cs="Arial"/>
                <w:b/>
                <w:bCs/>
              </w:rPr>
            </w:pPr>
          </w:p>
        </w:tc>
        <w:tc>
          <w:tcPr>
            <w:tcW w:w="4910" w:type="dxa"/>
            <w:gridSpan w:val="4"/>
            <w:noWrap/>
            <w:vAlign w:val="bottom"/>
            <w:hideMark/>
          </w:tcPr>
          <w:p w:rsidR="002F23AA" w:rsidRDefault="002F23AA" w:rsidP="008057B1">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2F23AA" w:rsidRDefault="002F23AA" w:rsidP="008057B1">
            <w:pPr>
              <w:jc w:val="center"/>
              <w:rPr>
                <w:rFonts w:ascii="Arial Black" w:hAnsi="Arial Black" w:cs="Arial"/>
                <w:b/>
                <w:bCs/>
              </w:rPr>
            </w:pPr>
          </w:p>
        </w:tc>
        <w:tc>
          <w:tcPr>
            <w:tcW w:w="1246" w:type="dxa"/>
            <w:noWrap/>
            <w:vAlign w:val="bottom"/>
          </w:tcPr>
          <w:p w:rsidR="002F23AA" w:rsidRDefault="002F23AA" w:rsidP="008057B1">
            <w:pPr>
              <w:rPr>
                <w:rFonts w:ascii="Arial" w:hAnsi="Arial" w:cs="Arial"/>
                <w:b/>
                <w:bCs/>
                <w:sz w:val="20"/>
                <w:szCs w:val="20"/>
              </w:rPr>
            </w:pPr>
          </w:p>
        </w:tc>
      </w:tr>
      <w:tr w:rsidR="002F23AA" w:rsidTr="002F23AA">
        <w:trPr>
          <w:trHeight w:val="390"/>
        </w:trPr>
        <w:tc>
          <w:tcPr>
            <w:tcW w:w="2056" w:type="dxa"/>
            <w:noWrap/>
            <w:vAlign w:val="bottom"/>
          </w:tcPr>
          <w:p w:rsidR="002F23AA" w:rsidRDefault="002F23AA" w:rsidP="008057B1">
            <w:pPr>
              <w:rPr>
                <w:rFonts w:ascii="Arial" w:hAnsi="Arial" w:cs="Arial"/>
                <w:sz w:val="20"/>
                <w:szCs w:val="20"/>
              </w:rPr>
            </w:pPr>
          </w:p>
        </w:tc>
        <w:tc>
          <w:tcPr>
            <w:tcW w:w="676" w:type="dxa"/>
            <w:noWrap/>
            <w:vAlign w:val="bottom"/>
          </w:tcPr>
          <w:p w:rsidR="002F23AA" w:rsidRDefault="002F23AA" w:rsidP="008057B1">
            <w:pPr>
              <w:jc w:val="center"/>
              <w:rPr>
                <w:rFonts w:ascii="Arial Black" w:hAnsi="Arial Black" w:cs="Arial"/>
                <w:b/>
                <w:bCs/>
              </w:rPr>
            </w:pPr>
          </w:p>
        </w:tc>
        <w:tc>
          <w:tcPr>
            <w:tcW w:w="638" w:type="dxa"/>
            <w:noWrap/>
            <w:vAlign w:val="bottom"/>
          </w:tcPr>
          <w:p w:rsidR="002F23AA" w:rsidRDefault="002F23AA" w:rsidP="008057B1">
            <w:pPr>
              <w:jc w:val="center"/>
              <w:rPr>
                <w:rFonts w:ascii="Arial Black" w:hAnsi="Arial Black" w:cs="Arial"/>
                <w:b/>
                <w:bCs/>
              </w:rPr>
            </w:pPr>
          </w:p>
        </w:tc>
        <w:tc>
          <w:tcPr>
            <w:tcW w:w="1216" w:type="dxa"/>
            <w:noWrap/>
            <w:vAlign w:val="bottom"/>
          </w:tcPr>
          <w:p w:rsidR="002F23AA" w:rsidRDefault="002F23AA" w:rsidP="008057B1">
            <w:pPr>
              <w:jc w:val="center"/>
              <w:rPr>
                <w:rFonts w:ascii="Arial Black" w:hAnsi="Arial Black" w:cs="Arial"/>
                <w:b/>
                <w:bCs/>
              </w:rPr>
            </w:pPr>
          </w:p>
        </w:tc>
        <w:tc>
          <w:tcPr>
            <w:tcW w:w="1977" w:type="dxa"/>
            <w:noWrap/>
            <w:vAlign w:val="bottom"/>
            <w:hideMark/>
          </w:tcPr>
          <w:p w:rsidR="002F23AA" w:rsidRDefault="002F23AA" w:rsidP="008057B1">
            <w:pPr>
              <w:jc w:val="center"/>
              <w:rPr>
                <w:rFonts w:ascii="Arial Black" w:hAnsi="Arial Black" w:cs="Arial"/>
                <w:b/>
                <w:bCs/>
              </w:rPr>
            </w:pPr>
            <w:r>
              <w:rPr>
                <w:rFonts w:ascii="Arial Black" w:hAnsi="Arial Black" w:cs="Arial"/>
                <w:b/>
                <w:bCs/>
              </w:rPr>
              <w:t>RESOLUTION</w:t>
            </w:r>
          </w:p>
        </w:tc>
        <w:tc>
          <w:tcPr>
            <w:tcW w:w="293" w:type="dxa"/>
            <w:noWrap/>
            <w:vAlign w:val="bottom"/>
          </w:tcPr>
          <w:p w:rsidR="002F23AA" w:rsidRDefault="002F23AA" w:rsidP="008057B1">
            <w:pPr>
              <w:jc w:val="center"/>
              <w:rPr>
                <w:rFonts w:ascii="Arial Black" w:hAnsi="Arial Black" w:cs="Arial"/>
                <w:b/>
                <w:bCs/>
              </w:rPr>
            </w:pPr>
          </w:p>
        </w:tc>
        <w:tc>
          <w:tcPr>
            <w:tcW w:w="1424" w:type="dxa"/>
            <w:noWrap/>
            <w:vAlign w:val="bottom"/>
          </w:tcPr>
          <w:p w:rsidR="002F23AA" w:rsidRDefault="002F23AA" w:rsidP="008057B1">
            <w:pPr>
              <w:jc w:val="center"/>
              <w:rPr>
                <w:rFonts w:ascii="Arial Black" w:hAnsi="Arial Black" w:cs="Arial"/>
                <w:b/>
                <w:bCs/>
              </w:rPr>
            </w:pPr>
          </w:p>
        </w:tc>
        <w:tc>
          <w:tcPr>
            <w:tcW w:w="1309" w:type="dxa"/>
            <w:noWrap/>
            <w:vAlign w:val="bottom"/>
          </w:tcPr>
          <w:p w:rsidR="002F23AA" w:rsidRDefault="002F23AA" w:rsidP="008057B1">
            <w:pPr>
              <w:jc w:val="center"/>
              <w:rPr>
                <w:rFonts w:ascii="Arial Black" w:hAnsi="Arial Black" w:cs="Arial"/>
                <w:b/>
                <w:bCs/>
              </w:rPr>
            </w:pPr>
          </w:p>
        </w:tc>
        <w:tc>
          <w:tcPr>
            <w:tcW w:w="1246" w:type="dxa"/>
            <w:noWrap/>
            <w:vAlign w:val="bottom"/>
          </w:tcPr>
          <w:p w:rsidR="002F23AA" w:rsidRDefault="002F23AA" w:rsidP="008057B1">
            <w:pPr>
              <w:rPr>
                <w:rFonts w:ascii="Arial" w:hAnsi="Arial" w:cs="Arial"/>
                <w:b/>
                <w:bCs/>
                <w:sz w:val="20"/>
                <w:szCs w:val="20"/>
              </w:rPr>
            </w:pPr>
          </w:p>
        </w:tc>
      </w:tr>
      <w:tr w:rsidR="002F23AA" w:rsidTr="002F23AA">
        <w:trPr>
          <w:trHeight w:val="612"/>
        </w:trPr>
        <w:tc>
          <w:tcPr>
            <w:tcW w:w="2056" w:type="dxa"/>
            <w:noWrap/>
            <w:vAlign w:val="bottom"/>
          </w:tcPr>
          <w:p w:rsidR="002F23AA" w:rsidRDefault="002F23AA" w:rsidP="008057B1">
            <w:pPr>
              <w:jc w:val="center"/>
              <w:rPr>
                <w:rFonts w:ascii="Arial Black" w:hAnsi="Arial Black" w:cs="Arial"/>
                <w:b/>
                <w:bCs/>
              </w:rPr>
            </w:pPr>
          </w:p>
        </w:tc>
        <w:tc>
          <w:tcPr>
            <w:tcW w:w="676" w:type="dxa"/>
            <w:noWrap/>
            <w:vAlign w:val="bottom"/>
          </w:tcPr>
          <w:p w:rsidR="002F23AA" w:rsidRDefault="002F23AA" w:rsidP="008057B1">
            <w:pPr>
              <w:jc w:val="center"/>
              <w:rPr>
                <w:rFonts w:ascii="Arial Black" w:hAnsi="Arial Black" w:cs="Arial"/>
                <w:b/>
                <w:bCs/>
              </w:rPr>
            </w:pPr>
          </w:p>
        </w:tc>
        <w:tc>
          <w:tcPr>
            <w:tcW w:w="638" w:type="dxa"/>
            <w:noWrap/>
            <w:vAlign w:val="bottom"/>
          </w:tcPr>
          <w:p w:rsidR="002F23AA" w:rsidRDefault="002F23AA" w:rsidP="008057B1">
            <w:pPr>
              <w:jc w:val="center"/>
              <w:rPr>
                <w:rFonts w:ascii="Arial Black" w:hAnsi="Arial Black" w:cs="Arial"/>
                <w:b/>
                <w:bCs/>
              </w:rPr>
            </w:pPr>
          </w:p>
        </w:tc>
        <w:tc>
          <w:tcPr>
            <w:tcW w:w="1216" w:type="dxa"/>
            <w:noWrap/>
            <w:vAlign w:val="bottom"/>
          </w:tcPr>
          <w:p w:rsidR="002F23AA" w:rsidRDefault="002F23AA" w:rsidP="008057B1">
            <w:pPr>
              <w:jc w:val="center"/>
              <w:rPr>
                <w:rFonts w:ascii="Arial Black" w:hAnsi="Arial Black" w:cs="Arial"/>
                <w:b/>
                <w:bCs/>
              </w:rPr>
            </w:pPr>
          </w:p>
        </w:tc>
        <w:tc>
          <w:tcPr>
            <w:tcW w:w="1977" w:type="dxa"/>
            <w:noWrap/>
            <w:vAlign w:val="bottom"/>
          </w:tcPr>
          <w:p w:rsidR="002F23AA" w:rsidRDefault="002F23AA" w:rsidP="008057B1">
            <w:pPr>
              <w:jc w:val="center"/>
              <w:rPr>
                <w:rFonts w:ascii="Arial Black" w:hAnsi="Arial Black" w:cs="Arial"/>
                <w:b/>
                <w:bCs/>
              </w:rPr>
            </w:pPr>
          </w:p>
        </w:tc>
        <w:tc>
          <w:tcPr>
            <w:tcW w:w="293" w:type="dxa"/>
            <w:noWrap/>
            <w:vAlign w:val="bottom"/>
          </w:tcPr>
          <w:p w:rsidR="002F23AA" w:rsidRDefault="002F23AA" w:rsidP="008057B1">
            <w:pPr>
              <w:jc w:val="center"/>
              <w:rPr>
                <w:rFonts w:ascii="Arial Black" w:hAnsi="Arial Black" w:cs="Arial"/>
                <w:b/>
                <w:bCs/>
              </w:rPr>
            </w:pPr>
          </w:p>
        </w:tc>
        <w:tc>
          <w:tcPr>
            <w:tcW w:w="1424" w:type="dxa"/>
            <w:noWrap/>
            <w:vAlign w:val="bottom"/>
          </w:tcPr>
          <w:p w:rsidR="002F23AA" w:rsidRDefault="002F23AA" w:rsidP="008057B1">
            <w:pPr>
              <w:jc w:val="center"/>
              <w:rPr>
                <w:rFonts w:ascii="Arial Black" w:hAnsi="Arial Black" w:cs="Arial"/>
                <w:b/>
                <w:bCs/>
              </w:rPr>
            </w:pPr>
          </w:p>
        </w:tc>
        <w:tc>
          <w:tcPr>
            <w:tcW w:w="1309" w:type="dxa"/>
            <w:noWrap/>
            <w:vAlign w:val="bottom"/>
          </w:tcPr>
          <w:p w:rsidR="002F23AA" w:rsidRDefault="002F23AA" w:rsidP="008057B1">
            <w:pPr>
              <w:jc w:val="center"/>
              <w:rPr>
                <w:rFonts w:ascii="Arial Black" w:hAnsi="Arial Black" w:cs="Arial"/>
                <w:b/>
                <w:bCs/>
              </w:rPr>
            </w:pPr>
          </w:p>
        </w:tc>
        <w:tc>
          <w:tcPr>
            <w:tcW w:w="1246" w:type="dxa"/>
            <w:noWrap/>
            <w:vAlign w:val="bottom"/>
          </w:tcPr>
          <w:p w:rsidR="002F23AA" w:rsidRDefault="002F23AA" w:rsidP="008057B1">
            <w:pPr>
              <w:rPr>
                <w:rFonts w:ascii="Arial" w:hAnsi="Arial" w:cs="Arial"/>
                <w:b/>
                <w:bCs/>
                <w:sz w:val="20"/>
                <w:szCs w:val="20"/>
              </w:rPr>
            </w:pPr>
          </w:p>
        </w:tc>
      </w:tr>
      <w:tr w:rsidR="002F23AA" w:rsidTr="002F23A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F23AA" w:rsidRDefault="002F23AA" w:rsidP="008057B1">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F23AA" w:rsidRDefault="002F23AA" w:rsidP="008057B1">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F23AA" w:rsidRDefault="002F23AA" w:rsidP="008057B1">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F23AA" w:rsidRDefault="002F23AA" w:rsidP="008057B1">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F23AA" w:rsidRDefault="002F23AA" w:rsidP="008057B1">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2F23AA" w:rsidRDefault="002F23AA" w:rsidP="008057B1">
            <w:pPr>
              <w:rPr>
                <w:rFonts w:ascii="Arial" w:hAnsi="Arial" w:cs="Arial"/>
                <w:sz w:val="20"/>
                <w:szCs w:val="20"/>
              </w:rPr>
            </w:pPr>
          </w:p>
        </w:tc>
        <w:tc>
          <w:tcPr>
            <w:tcW w:w="1424" w:type="dxa"/>
            <w:noWrap/>
            <w:vAlign w:val="bottom"/>
            <w:hideMark/>
          </w:tcPr>
          <w:p w:rsidR="002F23AA" w:rsidRDefault="002F23AA" w:rsidP="008057B1">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r>
              <w:rPr>
                <w:rFonts w:ascii="Arial" w:hAnsi="Arial" w:cs="Arial"/>
                <w:sz w:val="20"/>
                <w:szCs w:val="20"/>
              </w:rPr>
              <w:t>April 21, 2014</w:t>
            </w:r>
          </w:p>
        </w:tc>
      </w:tr>
      <w:tr w:rsidR="002F23AA" w:rsidTr="002F23AA">
        <w:trPr>
          <w:trHeight w:val="405"/>
        </w:trPr>
        <w:tc>
          <w:tcPr>
            <w:tcW w:w="2056" w:type="dxa"/>
            <w:tcBorders>
              <w:top w:val="nil"/>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293" w:type="dxa"/>
            <w:noWrap/>
            <w:vAlign w:val="bottom"/>
          </w:tcPr>
          <w:p w:rsidR="002F23AA" w:rsidRDefault="002F23AA" w:rsidP="008057B1">
            <w:pPr>
              <w:rPr>
                <w:rFonts w:ascii="Arial" w:hAnsi="Arial" w:cs="Arial"/>
                <w:sz w:val="20"/>
                <w:szCs w:val="20"/>
              </w:rPr>
            </w:pPr>
          </w:p>
        </w:tc>
        <w:tc>
          <w:tcPr>
            <w:tcW w:w="1424" w:type="dxa"/>
            <w:noWrap/>
            <w:vAlign w:val="bottom"/>
            <w:hideMark/>
          </w:tcPr>
          <w:p w:rsidR="002F23AA" w:rsidRDefault="002F23AA" w:rsidP="008057B1">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2F23AA" w:rsidRDefault="002F23AA" w:rsidP="006A238A">
            <w:pPr>
              <w:rPr>
                <w:rFonts w:ascii="Arial" w:hAnsi="Arial" w:cs="Arial"/>
                <w:sz w:val="20"/>
                <w:szCs w:val="20"/>
              </w:rPr>
            </w:pPr>
            <w:r>
              <w:rPr>
                <w:rFonts w:ascii="Arial" w:hAnsi="Arial" w:cs="Arial"/>
                <w:sz w:val="20"/>
                <w:szCs w:val="20"/>
              </w:rPr>
              <w:t>2014-10</w:t>
            </w:r>
            <w:r w:rsidR="006A238A">
              <w:rPr>
                <w:rFonts w:ascii="Arial" w:hAnsi="Arial" w:cs="Arial"/>
                <w:sz w:val="20"/>
                <w:szCs w:val="20"/>
              </w:rPr>
              <w:t>7</w:t>
            </w:r>
          </w:p>
        </w:tc>
        <w:tc>
          <w:tcPr>
            <w:tcW w:w="1246" w:type="dxa"/>
            <w:tcBorders>
              <w:top w:val="nil"/>
              <w:left w:val="nil"/>
              <w:bottom w:val="single" w:sz="4" w:space="0" w:color="auto"/>
              <w:right w:val="nil"/>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r>
      <w:tr w:rsidR="002F23AA" w:rsidTr="002F23AA">
        <w:trPr>
          <w:trHeight w:val="350"/>
        </w:trPr>
        <w:tc>
          <w:tcPr>
            <w:tcW w:w="2056" w:type="dxa"/>
            <w:tcBorders>
              <w:top w:val="nil"/>
              <w:left w:val="single" w:sz="8" w:space="0" w:color="auto"/>
              <w:bottom w:val="nil"/>
              <w:right w:val="single" w:sz="8" w:space="0" w:color="auto"/>
            </w:tcBorders>
            <w:noWrap/>
            <w:vAlign w:val="bottom"/>
            <w:hideMark/>
          </w:tcPr>
          <w:p w:rsidR="002F23AA" w:rsidRDefault="002F23AA" w:rsidP="008057B1">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2F23AA" w:rsidRDefault="002F23AA" w:rsidP="008057B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2F23AA" w:rsidRDefault="002F23AA" w:rsidP="008057B1">
            <w:pPr>
              <w:rPr>
                <w:rFonts w:ascii="Arial" w:hAnsi="Arial" w:cs="Arial"/>
                <w:sz w:val="20"/>
                <w:szCs w:val="20"/>
              </w:rPr>
            </w:pPr>
          </w:p>
        </w:tc>
        <w:tc>
          <w:tcPr>
            <w:tcW w:w="293" w:type="dxa"/>
            <w:noWrap/>
            <w:vAlign w:val="bottom"/>
          </w:tcPr>
          <w:p w:rsidR="002F23AA" w:rsidRDefault="002F23AA" w:rsidP="008057B1">
            <w:pPr>
              <w:rPr>
                <w:rFonts w:ascii="Arial" w:hAnsi="Arial" w:cs="Arial"/>
                <w:sz w:val="20"/>
                <w:szCs w:val="20"/>
              </w:rPr>
            </w:pPr>
          </w:p>
        </w:tc>
        <w:tc>
          <w:tcPr>
            <w:tcW w:w="1424" w:type="dxa"/>
            <w:noWrap/>
            <w:vAlign w:val="bottom"/>
            <w:hideMark/>
          </w:tcPr>
          <w:p w:rsidR="002F23AA" w:rsidRDefault="002F23AA" w:rsidP="008057B1">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p>
        </w:tc>
      </w:tr>
      <w:tr w:rsidR="002F23AA" w:rsidTr="002F23A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b/>
                <w:smallCaps/>
                <w:sz w:val="20"/>
                <w:szCs w:val="20"/>
              </w:rPr>
            </w:pPr>
            <w:proofErr w:type="spellStart"/>
            <w:r>
              <w:rPr>
                <w:rFonts w:ascii="Arial" w:hAnsi="Arial" w:cs="Arial"/>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2F23AA" w:rsidRDefault="002F23AA" w:rsidP="008057B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293" w:type="dxa"/>
            <w:noWrap/>
            <w:vAlign w:val="bottom"/>
          </w:tcPr>
          <w:p w:rsidR="002F23AA" w:rsidRDefault="002F23AA" w:rsidP="008057B1">
            <w:pPr>
              <w:rPr>
                <w:rFonts w:ascii="Arial" w:hAnsi="Arial" w:cs="Arial"/>
                <w:sz w:val="20"/>
                <w:szCs w:val="20"/>
              </w:rPr>
            </w:pPr>
          </w:p>
        </w:tc>
        <w:tc>
          <w:tcPr>
            <w:tcW w:w="1424" w:type="dxa"/>
            <w:tcBorders>
              <w:top w:val="nil"/>
              <w:left w:val="nil"/>
              <w:bottom w:val="single" w:sz="4" w:space="0" w:color="auto"/>
              <w:right w:val="nil"/>
            </w:tcBorders>
            <w:noWrap/>
            <w:vAlign w:val="bottom"/>
          </w:tcPr>
          <w:p w:rsidR="002F23AA" w:rsidRDefault="002F23AA" w:rsidP="008057B1">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r>
      <w:tr w:rsidR="002F23AA" w:rsidTr="002F23AA">
        <w:trPr>
          <w:trHeight w:val="350"/>
        </w:trPr>
        <w:tc>
          <w:tcPr>
            <w:tcW w:w="2056" w:type="dxa"/>
            <w:tcBorders>
              <w:top w:val="nil"/>
              <w:left w:val="single" w:sz="8" w:space="0" w:color="auto"/>
              <w:bottom w:val="nil"/>
              <w:right w:val="single" w:sz="8" w:space="0" w:color="auto"/>
            </w:tcBorders>
            <w:noWrap/>
            <w:vAlign w:val="bottom"/>
            <w:hideMark/>
          </w:tcPr>
          <w:p w:rsidR="002F23AA" w:rsidRDefault="002F23AA" w:rsidP="008057B1">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2F23AA" w:rsidRDefault="002F23AA" w:rsidP="008057B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293" w:type="dxa"/>
            <w:noWrap/>
            <w:vAlign w:val="bottom"/>
          </w:tcPr>
          <w:p w:rsidR="002F23AA" w:rsidRDefault="002F23AA" w:rsidP="008057B1">
            <w:pPr>
              <w:rPr>
                <w:rFonts w:ascii="Arial" w:hAnsi="Arial" w:cs="Arial"/>
                <w:sz w:val="20"/>
                <w:szCs w:val="20"/>
              </w:rPr>
            </w:pPr>
          </w:p>
        </w:tc>
        <w:tc>
          <w:tcPr>
            <w:tcW w:w="1424" w:type="dxa"/>
            <w:noWrap/>
            <w:vAlign w:val="bottom"/>
            <w:hideMark/>
          </w:tcPr>
          <w:p w:rsidR="002F23AA" w:rsidRDefault="002F23AA" w:rsidP="008057B1">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p>
        </w:tc>
      </w:tr>
      <w:tr w:rsidR="002F23AA" w:rsidTr="002F23AA">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2F23AA" w:rsidRDefault="002F23AA" w:rsidP="008057B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293" w:type="dxa"/>
            <w:noWrap/>
            <w:vAlign w:val="bottom"/>
          </w:tcPr>
          <w:p w:rsidR="002F23AA" w:rsidRDefault="002F23AA" w:rsidP="008057B1">
            <w:pPr>
              <w:rPr>
                <w:rFonts w:ascii="Arial" w:hAnsi="Arial" w:cs="Arial"/>
                <w:sz w:val="20"/>
                <w:szCs w:val="20"/>
              </w:rPr>
            </w:pPr>
          </w:p>
        </w:tc>
        <w:tc>
          <w:tcPr>
            <w:tcW w:w="1424" w:type="dxa"/>
            <w:tcBorders>
              <w:top w:val="nil"/>
              <w:left w:val="nil"/>
              <w:bottom w:val="single" w:sz="4" w:space="0" w:color="auto"/>
              <w:right w:val="nil"/>
            </w:tcBorders>
            <w:noWrap/>
            <w:vAlign w:val="bottom"/>
          </w:tcPr>
          <w:p w:rsidR="002F23AA" w:rsidRDefault="002F23AA" w:rsidP="008057B1">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2F23AA" w:rsidRDefault="002F23AA" w:rsidP="008057B1">
            <w:pPr>
              <w:rPr>
                <w:rFonts w:ascii="Arial" w:hAnsi="Arial" w:cs="Arial"/>
                <w:sz w:val="20"/>
                <w:szCs w:val="20"/>
              </w:rPr>
            </w:pPr>
          </w:p>
        </w:tc>
      </w:tr>
      <w:tr w:rsidR="002F23AA" w:rsidTr="002F23AA">
        <w:trPr>
          <w:trHeight w:val="350"/>
        </w:trPr>
        <w:tc>
          <w:tcPr>
            <w:tcW w:w="2056" w:type="dxa"/>
            <w:tcBorders>
              <w:top w:val="nil"/>
              <w:left w:val="single" w:sz="8" w:space="0" w:color="auto"/>
              <w:bottom w:val="single" w:sz="8" w:space="0" w:color="auto"/>
              <w:right w:val="single" w:sz="8" w:space="0" w:color="auto"/>
            </w:tcBorders>
            <w:noWrap/>
            <w:vAlign w:val="bottom"/>
            <w:hideMark/>
          </w:tcPr>
          <w:p w:rsidR="002F23AA" w:rsidRDefault="002F23AA" w:rsidP="008057B1">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2F23AA" w:rsidRDefault="002F23AA" w:rsidP="008057B1">
            <w:pPr>
              <w:rPr>
                <w:rFonts w:ascii="Arial" w:hAnsi="Arial" w:cs="Arial"/>
                <w:sz w:val="20"/>
                <w:szCs w:val="20"/>
              </w:rPr>
            </w:pPr>
            <w:r>
              <w:rPr>
                <w:rFonts w:ascii="Arial" w:hAnsi="Arial" w:cs="Arial"/>
                <w:sz w:val="20"/>
                <w:szCs w:val="20"/>
              </w:rPr>
              <w:t> </w:t>
            </w:r>
          </w:p>
        </w:tc>
        <w:tc>
          <w:tcPr>
            <w:tcW w:w="293" w:type="dxa"/>
            <w:noWrap/>
            <w:vAlign w:val="bottom"/>
          </w:tcPr>
          <w:p w:rsidR="002F23AA" w:rsidRDefault="002F23AA" w:rsidP="008057B1">
            <w:pPr>
              <w:rPr>
                <w:rFonts w:ascii="Arial" w:hAnsi="Arial" w:cs="Arial"/>
                <w:sz w:val="20"/>
                <w:szCs w:val="20"/>
              </w:rPr>
            </w:pPr>
          </w:p>
        </w:tc>
        <w:tc>
          <w:tcPr>
            <w:tcW w:w="1424" w:type="dxa"/>
            <w:noWrap/>
            <w:vAlign w:val="bottom"/>
          </w:tcPr>
          <w:p w:rsidR="002F23AA" w:rsidRDefault="002F23AA" w:rsidP="008057B1">
            <w:pPr>
              <w:rPr>
                <w:rFonts w:ascii="Arial" w:hAnsi="Arial" w:cs="Arial"/>
                <w:sz w:val="20"/>
                <w:szCs w:val="20"/>
              </w:rPr>
            </w:pPr>
          </w:p>
        </w:tc>
        <w:tc>
          <w:tcPr>
            <w:tcW w:w="1309" w:type="dxa"/>
            <w:noWrap/>
            <w:vAlign w:val="bottom"/>
          </w:tcPr>
          <w:p w:rsidR="002F23AA" w:rsidRDefault="002F23AA" w:rsidP="008057B1">
            <w:pPr>
              <w:rPr>
                <w:rFonts w:ascii="Arial" w:hAnsi="Arial" w:cs="Arial"/>
                <w:sz w:val="20"/>
                <w:szCs w:val="20"/>
              </w:rPr>
            </w:pPr>
          </w:p>
        </w:tc>
        <w:tc>
          <w:tcPr>
            <w:tcW w:w="1246" w:type="dxa"/>
            <w:noWrap/>
            <w:vAlign w:val="bottom"/>
          </w:tcPr>
          <w:p w:rsidR="002F23AA" w:rsidRDefault="002F23AA" w:rsidP="008057B1">
            <w:pPr>
              <w:rPr>
                <w:rFonts w:ascii="Arial" w:hAnsi="Arial" w:cs="Arial"/>
                <w:sz w:val="20"/>
                <w:szCs w:val="20"/>
              </w:rPr>
            </w:pPr>
          </w:p>
        </w:tc>
      </w:tr>
      <w:tr w:rsidR="002F23AA" w:rsidTr="002F23AA">
        <w:trPr>
          <w:trHeight w:val="350"/>
        </w:trPr>
        <w:tc>
          <w:tcPr>
            <w:tcW w:w="2056" w:type="dxa"/>
            <w:tcBorders>
              <w:top w:val="nil"/>
              <w:left w:val="single" w:sz="8" w:space="0" w:color="auto"/>
              <w:bottom w:val="single" w:sz="8" w:space="0" w:color="auto"/>
              <w:right w:val="single" w:sz="8" w:space="0" w:color="auto"/>
            </w:tcBorders>
            <w:noWrap/>
            <w:vAlign w:val="bottom"/>
            <w:hideMark/>
          </w:tcPr>
          <w:p w:rsidR="002F23AA" w:rsidRDefault="002F23AA" w:rsidP="008057B1">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2F23AA" w:rsidRDefault="002F23AA" w:rsidP="008057B1">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2F23AA" w:rsidRDefault="002F23AA" w:rsidP="008057B1">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2F23AA" w:rsidRDefault="002F23AA" w:rsidP="008057B1">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2F23AA" w:rsidRDefault="002F23AA" w:rsidP="008057B1">
            <w:pPr>
              <w:rPr>
                <w:rFonts w:ascii="Arial" w:hAnsi="Arial" w:cs="Arial"/>
                <w:sz w:val="20"/>
                <w:szCs w:val="20"/>
              </w:rPr>
            </w:pPr>
          </w:p>
        </w:tc>
        <w:tc>
          <w:tcPr>
            <w:tcW w:w="293" w:type="dxa"/>
            <w:noWrap/>
            <w:vAlign w:val="bottom"/>
          </w:tcPr>
          <w:p w:rsidR="002F23AA" w:rsidRDefault="002F23AA" w:rsidP="008057B1">
            <w:pPr>
              <w:rPr>
                <w:rFonts w:ascii="Arial" w:hAnsi="Arial" w:cs="Arial"/>
                <w:sz w:val="20"/>
                <w:szCs w:val="20"/>
              </w:rPr>
            </w:pPr>
          </w:p>
          <w:p w:rsidR="002F23AA" w:rsidRDefault="002F23AA" w:rsidP="008057B1">
            <w:pPr>
              <w:rPr>
                <w:rFonts w:ascii="Arial" w:hAnsi="Arial" w:cs="Arial"/>
                <w:sz w:val="20"/>
                <w:szCs w:val="20"/>
              </w:rPr>
            </w:pPr>
          </w:p>
        </w:tc>
        <w:tc>
          <w:tcPr>
            <w:tcW w:w="1424" w:type="dxa"/>
            <w:noWrap/>
            <w:vAlign w:val="bottom"/>
          </w:tcPr>
          <w:p w:rsidR="002F23AA" w:rsidRDefault="002F23AA" w:rsidP="008057B1">
            <w:pPr>
              <w:rPr>
                <w:rFonts w:ascii="Arial" w:hAnsi="Arial" w:cs="Arial"/>
                <w:sz w:val="20"/>
                <w:szCs w:val="20"/>
              </w:rPr>
            </w:pPr>
          </w:p>
          <w:p w:rsidR="002F23AA" w:rsidRDefault="002F23AA" w:rsidP="008057B1">
            <w:pPr>
              <w:rPr>
                <w:rFonts w:ascii="Arial" w:hAnsi="Arial" w:cs="Arial"/>
                <w:sz w:val="20"/>
                <w:szCs w:val="20"/>
              </w:rPr>
            </w:pPr>
          </w:p>
        </w:tc>
        <w:tc>
          <w:tcPr>
            <w:tcW w:w="1309" w:type="dxa"/>
            <w:noWrap/>
            <w:vAlign w:val="bottom"/>
          </w:tcPr>
          <w:p w:rsidR="002F23AA" w:rsidRDefault="002F23AA" w:rsidP="008057B1">
            <w:pPr>
              <w:rPr>
                <w:rFonts w:ascii="Arial" w:hAnsi="Arial" w:cs="Arial"/>
                <w:sz w:val="20"/>
                <w:szCs w:val="20"/>
              </w:rPr>
            </w:pPr>
          </w:p>
        </w:tc>
        <w:tc>
          <w:tcPr>
            <w:tcW w:w="1246" w:type="dxa"/>
            <w:noWrap/>
            <w:vAlign w:val="bottom"/>
          </w:tcPr>
          <w:p w:rsidR="002F23AA" w:rsidRDefault="002F23AA" w:rsidP="008057B1">
            <w:pPr>
              <w:rPr>
                <w:rFonts w:ascii="Arial" w:hAnsi="Arial" w:cs="Arial"/>
                <w:sz w:val="20"/>
                <w:szCs w:val="20"/>
              </w:rPr>
            </w:pPr>
          </w:p>
        </w:tc>
      </w:tr>
    </w:tbl>
    <w:p w:rsidR="006A238A" w:rsidRDefault="002F23AA" w:rsidP="002F23AA">
      <w:r>
        <w:t>.</w:t>
      </w:r>
    </w:p>
    <w:p w:rsidR="006A238A" w:rsidRPr="00C33F6B" w:rsidRDefault="006A238A" w:rsidP="00C96AEA">
      <w:pPr>
        <w:ind w:right="720"/>
        <w:jc w:val="both"/>
        <w:rPr>
          <w:b/>
          <w:bCs/>
        </w:rPr>
      </w:pPr>
      <w:bookmarkStart w:id="0" w:name="_GoBack"/>
      <w:bookmarkEnd w:id="0"/>
      <w:r>
        <w:rPr>
          <w:b/>
          <w:bCs/>
        </w:rPr>
        <w:t>R</w:t>
      </w:r>
      <w:r w:rsidRPr="00C33F6B">
        <w:rPr>
          <w:b/>
          <w:bCs/>
        </w:rPr>
        <w:t xml:space="preserve">ESOLUTION </w:t>
      </w:r>
      <w:r>
        <w:rPr>
          <w:b/>
          <w:bCs/>
        </w:rPr>
        <w:t>OF THE BOROUGH OF EDGEWATER, IN THE COUNTY OF BERGEN, NEW JERSEY, WITH RESPECT TO</w:t>
      </w:r>
      <w:r w:rsidRPr="00C33F6B">
        <w:rPr>
          <w:b/>
          <w:bCs/>
        </w:rPr>
        <w:t xml:space="preserve"> THE ISSUANCE AND SALE </w:t>
      </w:r>
      <w:r>
        <w:rPr>
          <w:b/>
          <w:bCs/>
        </w:rPr>
        <w:t>BY THE EDGEWATER HOUSING AUTHORITY</w:t>
      </w:r>
      <w:r w:rsidRPr="00C33F6B">
        <w:rPr>
          <w:b/>
          <w:bCs/>
        </w:rPr>
        <w:t xml:space="preserve"> OF ONE OR MORE SERIES OF </w:t>
      </w:r>
      <w:r>
        <w:rPr>
          <w:b/>
          <w:bCs/>
        </w:rPr>
        <w:t xml:space="preserve">PUBLICLY ASSISTED HOUSING REVENUE REFUNDING BONDS </w:t>
      </w:r>
      <w:r w:rsidRPr="00C33F6B">
        <w:rPr>
          <w:b/>
          <w:bCs/>
        </w:rPr>
        <w:t>(</w:t>
      </w:r>
      <w:r>
        <w:rPr>
          <w:b/>
          <w:bCs/>
        </w:rPr>
        <w:t>NEIGHBORHOOD AFFORDABLE HOUSING FRIENDS, INC. PROJECT</w:t>
      </w:r>
      <w:r w:rsidRPr="00C33F6B">
        <w:rPr>
          <w:b/>
          <w:bCs/>
        </w:rPr>
        <w:t xml:space="preserve">), SERIES </w:t>
      </w:r>
      <w:r>
        <w:rPr>
          <w:b/>
          <w:bCs/>
        </w:rPr>
        <w:t>2014</w:t>
      </w:r>
      <w:r w:rsidRPr="00C33F6B">
        <w:rPr>
          <w:b/>
          <w:bCs/>
        </w:rPr>
        <w:t xml:space="preserve"> AND AUTHORIZING AND APPROVING </w:t>
      </w:r>
      <w:r>
        <w:rPr>
          <w:b/>
          <w:bCs/>
        </w:rPr>
        <w:t>CERTAIN</w:t>
      </w:r>
      <w:r w:rsidRPr="00C33F6B">
        <w:rPr>
          <w:b/>
          <w:bCs/>
        </w:rPr>
        <w:t xml:space="preserve"> MATTERS IN CONNECTION THEREWITH.</w:t>
      </w:r>
    </w:p>
    <w:p w:rsidR="006A238A" w:rsidRPr="00C33F6B" w:rsidRDefault="006A238A" w:rsidP="006A238A">
      <w:pPr>
        <w:ind w:firstLine="6480"/>
        <w:jc w:val="both"/>
        <w:rPr>
          <w:b/>
          <w:bCs/>
        </w:rPr>
      </w:pPr>
    </w:p>
    <w:p w:rsidR="006A238A" w:rsidRPr="00C33F6B"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F6B">
        <w:t xml:space="preserve">WHEREAS, </w:t>
      </w:r>
      <w:r>
        <w:t>the</w:t>
      </w:r>
      <w:r w:rsidRPr="00C33F6B">
        <w:t xml:space="preserve"> </w:t>
      </w:r>
      <w:r>
        <w:t>Edgewater Housing Authority</w:t>
      </w:r>
      <w:r w:rsidRPr="00C33F6B">
        <w:t xml:space="preserve"> (the </w:t>
      </w:r>
      <w:r>
        <w:t>“</w:t>
      </w:r>
      <w:r w:rsidRPr="00C33F6B">
        <w:t>Authority</w:t>
      </w:r>
      <w:r>
        <w:t>”</w:t>
      </w:r>
      <w:r w:rsidRPr="00C33F6B">
        <w:t xml:space="preserve">) is a public body corporate and politic, constituting an instrumentality of the State of New Jersey (the </w:t>
      </w:r>
      <w:r>
        <w:t>“</w:t>
      </w:r>
      <w:r w:rsidRPr="00C33F6B">
        <w:t>State</w:t>
      </w:r>
      <w:r>
        <w:t>”</w:t>
      </w:r>
      <w:r w:rsidRPr="00C33F6B">
        <w:t xml:space="preserve">), created </w:t>
      </w:r>
      <w:r>
        <w:t xml:space="preserve">by the Borough of Edgewater (the “Borough”) </w:t>
      </w:r>
      <w:r w:rsidRPr="00C33F6B">
        <w:t xml:space="preserve">pursuant to the provisions of the </w:t>
      </w:r>
      <w:r>
        <w:t xml:space="preserve">Housing Authorities Law, Chapter 67 of the Pamphlet Laws of 1950, codified at N.J.S.A. 55:14A-1 </w:t>
      </w:r>
      <w:r w:rsidRPr="00352795">
        <w:rPr>
          <w:i/>
        </w:rPr>
        <w:t>et seq.</w:t>
      </w:r>
      <w:r>
        <w:t>, repealed and replaced by the Local Redevelopment and Housing Law</w:t>
      </w:r>
      <w:r w:rsidRPr="00C33F6B">
        <w:t xml:space="preserve">, under Chapter </w:t>
      </w:r>
      <w:r>
        <w:t>79</w:t>
      </w:r>
      <w:r w:rsidRPr="00C33F6B">
        <w:t xml:space="preserve"> of the Pamphlet Laws of 19</w:t>
      </w:r>
      <w:r>
        <w:t>92</w:t>
      </w:r>
      <w:r w:rsidRPr="00C33F6B">
        <w:t>, as amended and supplemented, and codified at N.J.S.A. 40</w:t>
      </w:r>
      <w:r>
        <w:t>A</w:t>
      </w:r>
      <w:r w:rsidRPr="00C33F6B">
        <w:t>:</w:t>
      </w:r>
      <w:r>
        <w:t>12</w:t>
      </w:r>
      <w:r w:rsidRPr="00C33F6B">
        <w:t>A-</w:t>
      </w:r>
      <w:r>
        <w:t>1</w:t>
      </w:r>
      <w:r w:rsidRPr="00C33F6B">
        <w:t xml:space="preserve"> </w:t>
      </w:r>
      <w:r w:rsidRPr="00C33F6B">
        <w:rPr>
          <w:i/>
          <w:iCs/>
        </w:rPr>
        <w:t>et seq</w:t>
      </w:r>
      <w:r w:rsidRPr="00C33F6B">
        <w:t xml:space="preserve">. (the </w:t>
      </w:r>
      <w:r>
        <w:t>“</w:t>
      </w:r>
      <w:r w:rsidRPr="00C33F6B">
        <w:t>Act</w:t>
      </w:r>
      <w:r>
        <w:t>”</w:t>
      </w:r>
      <w:r w:rsidRPr="00C33F6B">
        <w:t xml:space="preserve">); </w:t>
      </w: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A238A" w:rsidRPr="00C33F6B"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F6B">
        <w:t xml:space="preserve">WHEREAS, </w:t>
      </w:r>
      <w:r>
        <w:t xml:space="preserve">Neighborhood Affordable Housing Friends, Inc. </w:t>
      </w:r>
      <w:r w:rsidRPr="00C33F6B">
        <w:t xml:space="preserve">(the </w:t>
      </w:r>
      <w:r>
        <w:t>“</w:t>
      </w:r>
      <w:r w:rsidRPr="00C33F6B">
        <w:t>Borrower</w:t>
      </w:r>
      <w:r>
        <w:t>”</w:t>
      </w:r>
      <w:r w:rsidRPr="00C33F6B">
        <w:t xml:space="preserve">) is a nonprofit corporation organized under the laws of the State; </w:t>
      </w: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5040"/>
        <w:jc w:val="both"/>
      </w:pPr>
    </w:p>
    <w:p w:rsidR="006A238A" w:rsidRDefault="006A238A" w:rsidP="00C96AEA">
      <w:pPr>
        <w:jc w:val="both"/>
        <w:rPr>
          <w:rFonts w:ascii="Bell MT" w:hAnsi="Bell MT" w:cs="Bell MT"/>
        </w:rPr>
      </w:pPr>
      <w:r>
        <w:rPr>
          <w:rFonts w:ascii="Bell MT" w:hAnsi="Bell MT" w:cs="Bell MT"/>
        </w:rPr>
        <w:t xml:space="preserve">WHEREAS, the Borrower financed the acquisition and/or renovation of existing </w:t>
      </w:r>
      <w:r w:rsidRPr="00244829">
        <w:rPr>
          <w:rFonts w:ascii="Bell MT" w:hAnsi="Bell MT" w:cs="Bell MT"/>
        </w:rPr>
        <w:t xml:space="preserve">publicly assisted affordable housing units located at </w:t>
      </w:r>
      <w:r>
        <w:rPr>
          <w:rFonts w:ascii="Bell MT" w:hAnsi="Bell MT" w:cs="Bell MT"/>
        </w:rPr>
        <w:t xml:space="preserve">75-79 and 85 Edgewater Place, and 377 Undercliff Avenue, </w:t>
      </w:r>
      <w:r w:rsidRPr="00244829">
        <w:rPr>
          <w:rFonts w:ascii="Bell MT" w:hAnsi="Bell MT" w:cs="Bell MT"/>
        </w:rPr>
        <w:t xml:space="preserve"> in the Borough by issuing its </w:t>
      </w:r>
      <w:r>
        <w:rPr>
          <w:rFonts w:ascii="Bell MT" w:hAnsi="Bell MT" w:cs="Bell MT"/>
        </w:rPr>
        <w:t xml:space="preserve">mortgage note(s) </w:t>
      </w:r>
      <w:r w:rsidRPr="00244829">
        <w:rPr>
          <w:rFonts w:ascii="Bell MT" w:hAnsi="Bell MT" w:cs="Bell MT"/>
        </w:rPr>
        <w:t>(the “</w:t>
      </w:r>
      <w:r>
        <w:rPr>
          <w:rFonts w:ascii="Bell MT" w:hAnsi="Bell MT" w:cs="Bell MT"/>
        </w:rPr>
        <w:t>Original Mortgage Notes</w:t>
      </w:r>
      <w:r w:rsidRPr="00244829">
        <w:rPr>
          <w:rFonts w:ascii="Bell MT" w:hAnsi="Bell MT" w:cs="Bell MT"/>
        </w:rPr>
        <w:t>”)</w:t>
      </w:r>
      <w:r>
        <w:rPr>
          <w:rFonts w:ascii="Bell MT" w:hAnsi="Bell MT" w:cs="Bell MT"/>
        </w:rPr>
        <w:t>;</w:t>
      </w:r>
    </w:p>
    <w:p w:rsidR="006A238A" w:rsidRDefault="006A238A" w:rsidP="006A238A">
      <w:pPr>
        <w:ind w:firstLine="720"/>
        <w:jc w:val="both"/>
        <w:rPr>
          <w:rFonts w:ascii="Bell MT" w:hAnsi="Bell MT" w:cs="Bell MT"/>
        </w:rPr>
      </w:pPr>
    </w:p>
    <w:p w:rsidR="006A238A" w:rsidRDefault="006A238A" w:rsidP="00C96AEA">
      <w:pPr>
        <w:jc w:val="both"/>
      </w:pPr>
      <w:r>
        <w:rPr>
          <w:rFonts w:ascii="Bell MT" w:hAnsi="Bell MT" w:cs="Bell MT"/>
        </w:rPr>
        <w:t>WHEREAS, the Act authorizes the Author</w:t>
      </w:r>
      <w:r w:rsidRPr="00853588">
        <w:t xml:space="preserve">ity </w:t>
      </w:r>
      <w:r>
        <w:t>to issue bonds</w:t>
      </w:r>
      <w:r w:rsidRPr="00853588">
        <w:t xml:space="preserve"> (N.J.S.A. 40A:12A-</w:t>
      </w:r>
      <w:r>
        <w:t>16(5) and -29</w:t>
      </w:r>
      <w:r w:rsidRPr="00853588">
        <w:t xml:space="preserve">) </w:t>
      </w:r>
      <w:r>
        <w:t xml:space="preserve">and to cooperate with a private person to provide funds to a nonprofit developer to acquire, construct, rehabilitate or operate publicly assisted housing </w:t>
      </w:r>
      <w:r w:rsidRPr="00853588">
        <w:t>(N.J.S.A. 40A:12A-</w:t>
      </w:r>
      <w:r>
        <w:t xml:space="preserve">16(6)); </w:t>
      </w:r>
    </w:p>
    <w:p w:rsidR="006A238A"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A238A"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F6B">
        <w:t>WHEREAS, in furtherance of the purposes of the Act, the Authority proposes to issue one or more series of bonds in an aggregate principal amount not to exceed $</w:t>
      </w:r>
      <w:r>
        <w:t xml:space="preserve">1,115,000 </w:t>
      </w:r>
      <w:r w:rsidRPr="00C33F6B">
        <w:t xml:space="preserve">(the </w:t>
      </w:r>
      <w:r>
        <w:t>“</w:t>
      </w:r>
      <w:r w:rsidRPr="00C33F6B">
        <w:t>Bonds</w:t>
      </w:r>
      <w:r>
        <w:t>”</w:t>
      </w:r>
      <w:r w:rsidRPr="00C33F6B">
        <w:t xml:space="preserve">) and to apply the proceeds of </w:t>
      </w:r>
      <w:r>
        <w:t>the</w:t>
      </w:r>
      <w:r w:rsidRPr="00C33F6B">
        <w:t xml:space="preserve"> Bonds to make a loan to the Borrower </w:t>
      </w:r>
      <w:r>
        <w:t>to refinance</w:t>
      </w:r>
      <w:r w:rsidRPr="00C33F6B">
        <w:t xml:space="preserve"> the </w:t>
      </w:r>
      <w:r>
        <w:t xml:space="preserve">Original Mortgage </w:t>
      </w:r>
      <w:r>
        <w:lastRenderedPageBreak/>
        <w:t>Note</w:t>
      </w:r>
      <w:r w:rsidRPr="00C33F6B">
        <w:t xml:space="preserve"> in accordance with </w:t>
      </w:r>
      <w:r>
        <w:t>a</w:t>
      </w:r>
      <w:r w:rsidRPr="00C33F6B">
        <w:t xml:space="preserve"> Bond Agreement </w:t>
      </w:r>
      <w:r>
        <w:t xml:space="preserve">to be entered into </w:t>
      </w:r>
      <w:r w:rsidRPr="00C33F6B">
        <w:t xml:space="preserve">by and among the Authority, </w:t>
      </w:r>
      <w:r>
        <w:t xml:space="preserve">Bank of New Jersey as </w:t>
      </w:r>
      <w:r w:rsidRPr="00C33F6B">
        <w:t>escrow agent/purchaser</w:t>
      </w:r>
      <w:r>
        <w:t>,</w:t>
      </w:r>
      <w:r w:rsidRPr="00C33F6B">
        <w:t xml:space="preserve"> and the Borrower (the </w:t>
      </w:r>
      <w:r>
        <w:t>“</w:t>
      </w:r>
      <w:r w:rsidRPr="00C33F6B">
        <w:t>Bond Agreement</w:t>
      </w:r>
      <w:r>
        <w:t>”</w:t>
      </w:r>
      <w:r w:rsidRPr="00C33F6B">
        <w:t>)</w:t>
      </w:r>
      <w:r>
        <w:t xml:space="preserve">, which </w:t>
      </w:r>
      <w:r w:rsidRPr="00C33F6B">
        <w:t>provid</w:t>
      </w:r>
      <w:r>
        <w:t>es</w:t>
      </w:r>
      <w:r w:rsidRPr="00C33F6B">
        <w:t xml:space="preserve">, in part, for payments by the Borrower sufficient to meet installments of interest and principal on the Bonds; </w:t>
      </w:r>
    </w:p>
    <w:p w:rsidR="006A238A"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A238A" w:rsidRPr="00C33F6B"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WHEREAS, the Bonds will </w:t>
      </w:r>
      <w:r>
        <w:rPr>
          <w:rFonts w:ascii="Bell MT" w:hAnsi="Bell MT" w:cs="Bell MT"/>
        </w:rPr>
        <w:t xml:space="preserve">constitute a special, limited obligation of the Authority payable solely from the revenues and other monies derived by the Authority under the Bond Agreement, and nothing in the Bonds or the Bond Agreement will assign or pledge therefor any other funds or assets of the Authority or the Borough; </w:t>
      </w: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A238A"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F6B">
        <w:rPr>
          <w:bCs/>
          <w:lang w:val="x-none"/>
        </w:rPr>
        <w:t>WHEREAS</w:t>
      </w:r>
      <w:r w:rsidRPr="00C33F6B">
        <w:rPr>
          <w:lang w:val="x-none"/>
        </w:rPr>
        <w:t xml:space="preserve">, the Bonds will be issued pursuant to the terms of the Act, the Bond Agreement, other applicable law and </w:t>
      </w:r>
      <w:r>
        <w:t>a</w:t>
      </w:r>
      <w:r w:rsidRPr="00C33F6B">
        <w:rPr>
          <w:lang w:val="x-none"/>
        </w:rPr>
        <w:t xml:space="preserve"> resolution to be adopted by the Authority prior to the issuance of the Bonds (together with any amendments thereof or supplements, the </w:t>
      </w:r>
      <w:r>
        <w:rPr>
          <w:lang w:val="x-none"/>
        </w:rPr>
        <w:t>“</w:t>
      </w:r>
      <w:r w:rsidRPr="00C33F6B">
        <w:rPr>
          <w:lang w:val="x-none"/>
        </w:rPr>
        <w:t>Bond Resolution</w:t>
      </w:r>
      <w:r>
        <w:rPr>
          <w:lang w:val="x-none"/>
        </w:rPr>
        <w:t>”</w:t>
      </w:r>
      <w:r w:rsidRPr="00C33F6B">
        <w:rPr>
          <w:lang w:val="x-none"/>
        </w:rPr>
        <w:t xml:space="preserve">); </w:t>
      </w:r>
    </w:p>
    <w:p w:rsidR="006A238A" w:rsidRDefault="006A238A" w:rsidP="006A238A">
      <w:pPr>
        <w:tabs>
          <w:tab w:val="left" w:pos="-720"/>
        </w:tabs>
        <w:suppressAutoHyphens/>
        <w:jc w:val="both"/>
        <w:rPr>
          <w:b/>
          <w:bCs/>
          <w:color w:val="000000"/>
        </w:rPr>
      </w:pPr>
    </w:p>
    <w:p w:rsidR="006A238A" w:rsidRDefault="006A238A" w:rsidP="006A238A">
      <w:pPr>
        <w:rPr>
          <w:color w:val="000000"/>
        </w:rPr>
      </w:pPr>
      <w:r w:rsidRPr="008F5EE6">
        <w:rPr>
          <w:bCs/>
          <w:color w:val="000000"/>
        </w:rPr>
        <w:t>WHEREAS</w:t>
      </w:r>
      <w:r>
        <w:rPr>
          <w:color w:val="000000"/>
        </w:rPr>
        <w:t>, the Authority will conduct a public hearing with respect to the Bonds pursuant to Section 147(f) of the Internal Revenue Code of 1986, as amended (the “Code”), following public notice published in the Jersey Journal;</w:t>
      </w:r>
    </w:p>
    <w:p w:rsidR="006A238A" w:rsidRDefault="006A238A" w:rsidP="006A238A">
      <w:pPr>
        <w:rPr>
          <w:color w:val="000000"/>
        </w:rPr>
      </w:pPr>
    </w:p>
    <w:p w:rsidR="006A238A" w:rsidRPr="00C33F6B" w:rsidRDefault="006A238A" w:rsidP="00C9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C33F6B">
        <w:t xml:space="preserve">NOW, THEREFORE, BE IT RESOLVED BY THE </w:t>
      </w:r>
      <w:r>
        <w:t>BOROUGH OF EDGEWATER</w:t>
      </w:r>
      <w:r w:rsidRPr="00C33F6B">
        <w:t xml:space="preserve"> as follows:</w:t>
      </w: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 w:rsidRPr="00C33F6B">
        <w:t>Section 1.</w:t>
      </w:r>
      <w:r w:rsidRPr="00C33F6B">
        <w:tab/>
      </w:r>
      <w:r>
        <w:t>The Authority proposes to issue</w:t>
      </w:r>
      <w:r w:rsidRPr="00C33F6B">
        <w:t xml:space="preserve"> one or more </w:t>
      </w:r>
      <w:r>
        <w:t xml:space="preserve">series of </w:t>
      </w:r>
      <w:r w:rsidRPr="00C33F6B">
        <w:t xml:space="preserve">Bonds in </w:t>
      </w:r>
      <w:r>
        <w:t xml:space="preserve">accordance with the Bond Resolution in </w:t>
      </w:r>
      <w:r w:rsidRPr="00C33F6B">
        <w:t>an aggregate principal amount not to exceed $</w:t>
      </w:r>
      <w:r>
        <w:t>1,115,000 to refinance the Original Mortgage Note and pay costs in connection therewith.</w:t>
      </w:r>
      <w:r w:rsidRPr="00C33F6B">
        <w:t xml:space="preserve">  </w:t>
      </w:r>
      <w:r w:rsidRPr="00C33F6B">
        <w:rPr>
          <w:spacing w:val="-3"/>
        </w:rPr>
        <w:t>T</w:t>
      </w:r>
      <w:r w:rsidRPr="00C33F6B">
        <w:t>he Bonds shall be dated, shall bear interest at such rate of interest, and shall be payable as to principal, interest and premium, if any, all as is</w:t>
      </w:r>
      <w:r>
        <w:t xml:space="preserve"> approved by the Authority and</w:t>
      </w:r>
      <w:r w:rsidRPr="00C33F6B">
        <w:t xml:space="preserve"> specified in</w:t>
      </w:r>
      <w:r>
        <w:t xml:space="preserve"> the Bond Agreement</w:t>
      </w:r>
      <w:r w:rsidRPr="00C33F6B">
        <w:t xml:space="preserve">; provided, however, that the </w:t>
      </w:r>
      <w:r w:rsidRPr="00C33F6B">
        <w:rPr>
          <w:spacing w:val="-3"/>
        </w:rPr>
        <w:t>Bonds shall bear interest at a</w:t>
      </w:r>
      <w:r>
        <w:rPr>
          <w:spacing w:val="-3"/>
        </w:rPr>
        <w:t>n initial</w:t>
      </w:r>
      <w:r w:rsidRPr="00C33F6B">
        <w:rPr>
          <w:spacing w:val="-3"/>
        </w:rPr>
        <w:t xml:space="preserve"> coupon rate not to exceed </w:t>
      </w:r>
      <w:r>
        <w:rPr>
          <w:spacing w:val="-3"/>
        </w:rPr>
        <w:t>5.75</w:t>
      </w:r>
      <w:r w:rsidRPr="00C33F6B">
        <w:rPr>
          <w:spacing w:val="-3"/>
        </w:rPr>
        <w:t xml:space="preserve">%, </w:t>
      </w:r>
      <w:r>
        <w:rPr>
          <w:spacing w:val="-3"/>
        </w:rPr>
        <w:t xml:space="preserve">which interest rate may be reset from time-to-time at the prevailing rates then in effect but in no event greater than 11.50%, </w:t>
      </w:r>
      <w:r w:rsidRPr="00C33F6B">
        <w:rPr>
          <w:spacing w:val="-3"/>
        </w:rPr>
        <w:t xml:space="preserve">shall mature no later than </w:t>
      </w:r>
      <w:r>
        <w:rPr>
          <w:spacing w:val="-3"/>
        </w:rPr>
        <w:t>thirty</w:t>
      </w:r>
      <w:r w:rsidRPr="00C33F6B">
        <w:rPr>
          <w:spacing w:val="-3"/>
        </w:rPr>
        <w:t xml:space="preserve"> (</w:t>
      </w:r>
      <w:r>
        <w:rPr>
          <w:spacing w:val="-3"/>
        </w:rPr>
        <w:t>3</w:t>
      </w:r>
      <w:r w:rsidRPr="00C33F6B">
        <w:rPr>
          <w:spacing w:val="-3"/>
        </w:rPr>
        <w:t>0) years from the date of issuance of the Bonds and shall be dated and be subject to redemption prior to maturity (provided that any redemption premium shall not exceed one hundred and five percent (105%)</w:t>
      </w:r>
      <w:r>
        <w:rPr>
          <w:spacing w:val="-3"/>
        </w:rPr>
        <w:t>)</w:t>
      </w:r>
      <w:r w:rsidRPr="00C33F6B">
        <w:t xml:space="preserve">.  </w:t>
      </w:r>
      <w:r>
        <w:t>The Borough hereby finds and determines, in accordance with N.J.S.A. 40A:12A-29d, that such rate of interest is in the best interest of the Borough.</w:t>
      </w: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6A238A" w:rsidRDefault="006A238A" w:rsidP="006A238A">
      <w:pPr>
        <w:tabs>
          <w:tab w:val="left" w:pos="-720"/>
        </w:tabs>
        <w:suppressAutoHyphens/>
        <w:jc w:val="both"/>
        <w:rPr>
          <w:color w:val="000000"/>
        </w:rPr>
      </w:pPr>
      <w:r>
        <w:tab/>
      </w:r>
      <w:r w:rsidRPr="00C33F6B">
        <w:t>Section 2.</w:t>
      </w:r>
      <w:r w:rsidRPr="00C33F6B">
        <w:tab/>
      </w:r>
      <w:r>
        <w:t xml:space="preserve">The Mayor of the Borough is hereby authorized, as the applicable elected representative, as such term is defined in Section 147(f) of the Code, to approve of the issuance of the Bonds after a public hearing in </w:t>
      </w:r>
      <w:r>
        <w:rPr>
          <w:color w:val="000000"/>
        </w:rPr>
        <w:t>satisfaction of the requirements of Section 147(f)(2) of the Code, and this resolution shall be evidence of such authorization.</w:t>
      </w:r>
    </w:p>
    <w:p w:rsidR="006A238A" w:rsidRDefault="006A238A" w:rsidP="006A238A">
      <w:pPr>
        <w:tabs>
          <w:tab w:val="left" w:pos="-720"/>
        </w:tabs>
        <w:suppressAutoHyphens/>
        <w:jc w:val="both"/>
        <w:rPr>
          <w:color w:val="000000"/>
        </w:rPr>
      </w:pPr>
    </w:p>
    <w:p w:rsidR="006A238A" w:rsidRDefault="006A238A" w:rsidP="006A238A">
      <w:pPr>
        <w:tabs>
          <w:tab w:val="left" w:pos="-720"/>
        </w:tabs>
        <w:suppressAutoHyphens/>
        <w:jc w:val="both"/>
        <w:rPr>
          <w:color w:val="000000"/>
        </w:rPr>
      </w:pPr>
    </w:p>
    <w:p w:rsidR="006A238A" w:rsidRDefault="006A238A" w:rsidP="006A238A">
      <w:pPr>
        <w:tabs>
          <w:tab w:val="left" w:pos="-720"/>
        </w:tabs>
        <w:suppressAutoHyphens/>
        <w:jc w:val="both"/>
        <w:rPr>
          <w:color w:val="000000"/>
        </w:rPr>
      </w:pPr>
    </w:p>
    <w:p w:rsidR="006A238A"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pacing w:val="-3"/>
        </w:rPr>
      </w:pPr>
      <w:r w:rsidRPr="00C33F6B">
        <w:t>Section 3.</w:t>
      </w:r>
      <w:r w:rsidRPr="00C33F6B">
        <w:tab/>
      </w:r>
      <w:r w:rsidRPr="00C33F6B">
        <w:rPr>
          <w:spacing w:val="-3"/>
        </w:rPr>
        <w:t xml:space="preserve">The </w:t>
      </w:r>
      <w:r>
        <w:rPr>
          <w:spacing w:val="-3"/>
        </w:rPr>
        <w:t>Mayor, Borough Administrator and Borough Chief Financial Officer are each</w:t>
      </w:r>
      <w:r w:rsidRPr="00C33F6B">
        <w:rPr>
          <w:spacing w:val="-3"/>
        </w:rPr>
        <w:t xml:space="preserve"> hereby authorized and directed to execute and deliver such documents, and to take such other action as may be necessary or appropriate in order to consummate the transactions contemplated hereby.</w:t>
      </w:r>
    </w:p>
    <w:p w:rsidR="006A238A"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pacing w:val="-3"/>
        </w:rPr>
      </w:pPr>
    </w:p>
    <w:p w:rsidR="006A238A" w:rsidRPr="00C33F6B" w:rsidRDefault="006A238A" w:rsidP="006A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color w:val="000000"/>
        </w:rPr>
      </w:pPr>
      <w:r>
        <w:rPr>
          <w:spacing w:val="-3"/>
        </w:rPr>
        <w:lastRenderedPageBreak/>
        <w:t xml:space="preserve">Section 4.       A copy of this Resolution shall be filed with the Clerk of the </w:t>
      </w:r>
      <w:r w:rsidR="002763FD">
        <w:rPr>
          <w:spacing w:val="-3"/>
        </w:rPr>
        <w:t>Borough of Edgewater. This resolution shall take effect upon the adoption hereof.</w:t>
      </w:r>
    </w:p>
    <w:p w:rsidR="006A238A" w:rsidRPr="00A86AE2" w:rsidRDefault="006A238A" w:rsidP="006A238A"/>
    <w:p w:rsidR="002F23AA" w:rsidRDefault="002F23AA" w:rsidP="002F23AA">
      <w:pPr>
        <w:tabs>
          <w:tab w:val="left" w:pos="0"/>
        </w:tabs>
        <w:rPr>
          <w:b/>
        </w:rPr>
      </w:pPr>
    </w:p>
    <w:tbl>
      <w:tblPr>
        <w:tblW w:w="20083" w:type="dxa"/>
        <w:tblLook w:val="0000" w:firstRow="0" w:lastRow="0" w:firstColumn="0" w:lastColumn="0" w:noHBand="0" w:noVBand="0"/>
      </w:tblPr>
      <w:tblGrid>
        <w:gridCol w:w="11159"/>
        <w:gridCol w:w="676"/>
        <w:gridCol w:w="638"/>
        <w:gridCol w:w="1216"/>
        <w:gridCol w:w="1977"/>
        <w:gridCol w:w="293"/>
        <w:gridCol w:w="1424"/>
        <w:gridCol w:w="1309"/>
        <w:gridCol w:w="1391"/>
      </w:tblGrid>
      <w:tr w:rsidR="002F23AA" w:rsidRPr="00274DF7" w:rsidTr="008057B1">
        <w:trPr>
          <w:trHeight w:val="80"/>
        </w:trPr>
        <w:tc>
          <w:tcPr>
            <w:tcW w:w="11159" w:type="dxa"/>
            <w:tcBorders>
              <w:top w:val="nil"/>
              <w:left w:val="nil"/>
              <w:bottom w:val="nil"/>
              <w:right w:val="nil"/>
            </w:tcBorders>
            <w:shd w:val="clear" w:color="auto" w:fill="auto"/>
            <w:noWrap/>
            <w:vAlign w:val="bottom"/>
          </w:tcPr>
          <w:p w:rsidR="002F23AA" w:rsidRPr="00274DF7" w:rsidRDefault="002F23AA" w:rsidP="008057B1">
            <w:pPr>
              <w:tabs>
                <w:tab w:val="left" w:pos="0"/>
              </w:tabs>
              <w:rPr>
                <w:bCs/>
                <w:szCs w:val="20"/>
              </w:rPr>
            </w:pPr>
            <w:r>
              <w:rPr>
                <w:bCs/>
                <w:szCs w:val="20"/>
              </w:rPr>
              <w:t xml:space="preserve">I </w:t>
            </w:r>
            <w:r w:rsidRPr="00274DF7">
              <w:rPr>
                <w:bCs/>
                <w:szCs w:val="20"/>
              </w:rPr>
              <w:t xml:space="preserve"> hereby certify that the above Resolution was adopted by the Mayor and Council on </w:t>
            </w:r>
          </w:p>
          <w:p w:rsidR="002F23AA" w:rsidRPr="00274DF7" w:rsidRDefault="002F23AA" w:rsidP="008057B1">
            <w:pPr>
              <w:tabs>
                <w:tab w:val="left" w:pos="0"/>
              </w:tabs>
              <w:rPr>
                <w:bCs/>
              </w:rPr>
            </w:pPr>
            <w:r>
              <w:rPr>
                <w:bCs/>
                <w:szCs w:val="20"/>
              </w:rPr>
              <w:t>April 21, 2014.</w:t>
            </w:r>
          </w:p>
        </w:tc>
        <w:tc>
          <w:tcPr>
            <w:tcW w:w="676"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638"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216"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977"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293"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424"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309"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391"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rPr>
                <w:bCs/>
                <w:sz w:val="20"/>
                <w:szCs w:val="20"/>
              </w:rPr>
            </w:pPr>
          </w:p>
        </w:tc>
      </w:tr>
    </w:tbl>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tabs>
          <w:tab w:val="left" w:pos="368"/>
        </w:tabs>
        <w:autoSpaceDE w:val="0"/>
        <w:autoSpaceDN w:val="0"/>
        <w:adjustRightInd w:val="0"/>
        <w:spacing w:line="277" w:lineRule="exact"/>
      </w:pPr>
    </w:p>
    <w:p w:rsidR="002F23AA" w:rsidRPr="00274DF7" w:rsidRDefault="002F23AA" w:rsidP="002F23AA">
      <w:pPr>
        <w:widowControl w:val="0"/>
        <w:autoSpaceDE w:val="0"/>
        <w:autoSpaceDN w:val="0"/>
        <w:adjustRightInd w:val="0"/>
        <w:ind w:left="-540"/>
      </w:pPr>
      <w:r w:rsidRPr="00274DF7">
        <w:tab/>
      </w:r>
      <w:r w:rsidRPr="00274DF7">
        <w:tab/>
      </w:r>
      <w:r w:rsidRPr="00274DF7">
        <w:tab/>
      </w:r>
      <w:r w:rsidRPr="00274DF7">
        <w:tab/>
      </w:r>
      <w:r w:rsidRPr="00274DF7">
        <w:tab/>
      </w:r>
      <w:r w:rsidRPr="00274DF7">
        <w:tab/>
        <w:t xml:space="preserve">_________________________________ </w:t>
      </w:r>
    </w:p>
    <w:p w:rsidR="002F23AA" w:rsidRPr="00274DF7" w:rsidRDefault="002F23AA" w:rsidP="002F23AA">
      <w:pPr>
        <w:widowControl w:val="0"/>
        <w:autoSpaceDE w:val="0"/>
        <w:autoSpaceDN w:val="0"/>
        <w:adjustRightInd w:val="0"/>
        <w:rPr>
          <w:b/>
        </w:rPr>
      </w:pPr>
      <w:r w:rsidRPr="00274DF7">
        <w:tab/>
      </w:r>
      <w:r w:rsidRPr="00274DF7">
        <w:tab/>
      </w:r>
      <w:r w:rsidRPr="00274DF7">
        <w:tab/>
      </w:r>
      <w:r w:rsidRPr="00274DF7">
        <w:tab/>
      </w:r>
      <w:r w:rsidRPr="00274DF7">
        <w:tab/>
      </w:r>
      <w:r w:rsidRPr="00274DF7">
        <w:tab/>
      </w:r>
      <w:smartTag w:uri="urn:schemas-microsoft-com:office:smarttags" w:element="PersonName">
        <w:r w:rsidRPr="00274DF7">
          <w:rPr>
            <w:b/>
          </w:rPr>
          <w:t>BARBARA RAE</w:t>
        </w:r>
      </w:smartTag>
      <w:r w:rsidRPr="00274DF7">
        <w:rPr>
          <w:b/>
        </w:rPr>
        <w:t>, RMC, CMC</w:t>
      </w:r>
      <w:r w:rsidRPr="00274DF7">
        <w:rPr>
          <w:b/>
        </w:rPr>
        <w:tab/>
      </w:r>
    </w:p>
    <w:p w:rsidR="002F23AA" w:rsidRDefault="002F23AA" w:rsidP="002F23AA">
      <w:pPr>
        <w:widowControl w:val="0"/>
        <w:autoSpaceDE w:val="0"/>
        <w:autoSpaceDN w:val="0"/>
        <w:adjustRightInd w:val="0"/>
      </w:pPr>
      <w:r w:rsidRPr="00274DF7">
        <w:t xml:space="preserve">                                                                        Borough Clerk</w:t>
      </w:r>
      <w:r w:rsidRPr="00274DF7">
        <w:tab/>
      </w:r>
    </w:p>
    <w:p w:rsidR="002F23AA" w:rsidRDefault="002F23AA" w:rsidP="002F23AA">
      <w:pPr>
        <w:pStyle w:val="p14"/>
      </w:pPr>
    </w:p>
    <w:p w:rsidR="002F23AA" w:rsidRDefault="002F23AA" w:rsidP="002F23AA">
      <w:pPr>
        <w:tabs>
          <w:tab w:val="left" w:pos="0"/>
        </w:tabs>
        <w:rPr>
          <w:b/>
        </w:rPr>
      </w:pPr>
    </w:p>
    <w:tbl>
      <w:tblPr>
        <w:tblW w:w="20083" w:type="dxa"/>
        <w:tblLook w:val="0000" w:firstRow="0" w:lastRow="0" w:firstColumn="0" w:lastColumn="0" w:noHBand="0" w:noVBand="0"/>
      </w:tblPr>
      <w:tblGrid>
        <w:gridCol w:w="11159"/>
        <w:gridCol w:w="676"/>
        <w:gridCol w:w="638"/>
        <w:gridCol w:w="1216"/>
        <w:gridCol w:w="1977"/>
        <w:gridCol w:w="293"/>
        <w:gridCol w:w="1424"/>
        <w:gridCol w:w="1309"/>
        <w:gridCol w:w="1391"/>
      </w:tblGrid>
      <w:tr w:rsidR="002F23AA" w:rsidRPr="00274DF7" w:rsidTr="008057B1">
        <w:trPr>
          <w:trHeight w:val="80"/>
        </w:trPr>
        <w:tc>
          <w:tcPr>
            <w:tcW w:w="11159" w:type="dxa"/>
            <w:tcBorders>
              <w:top w:val="nil"/>
              <w:left w:val="nil"/>
              <w:bottom w:val="nil"/>
              <w:right w:val="nil"/>
            </w:tcBorders>
            <w:shd w:val="clear" w:color="auto" w:fill="auto"/>
            <w:noWrap/>
            <w:vAlign w:val="bottom"/>
          </w:tcPr>
          <w:p w:rsidR="002F23AA" w:rsidRPr="00274DF7" w:rsidRDefault="002F23AA" w:rsidP="008057B1">
            <w:pPr>
              <w:tabs>
                <w:tab w:val="left" w:pos="0"/>
              </w:tabs>
              <w:rPr>
                <w:bCs/>
              </w:rPr>
            </w:pPr>
          </w:p>
        </w:tc>
        <w:tc>
          <w:tcPr>
            <w:tcW w:w="676"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638"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216"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977"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293"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424"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309"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jc w:val="center"/>
              <w:rPr>
                <w:rFonts w:ascii="Arial Black" w:hAnsi="Arial Black"/>
                <w:bCs/>
              </w:rPr>
            </w:pPr>
          </w:p>
        </w:tc>
        <w:tc>
          <w:tcPr>
            <w:tcW w:w="1391" w:type="dxa"/>
            <w:tcBorders>
              <w:top w:val="nil"/>
              <w:left w:val="nil"/>
              <w:bottom w:val="nil"/>
              <w:right w:val="nil"/>
            </w:tcBorders>
            <w:shd w:val="clear" w:color="auto" w:fill="auto"/>
            <w:noWrap/>
            <w:vAlign w:val="bottom"/>
          </w:tcPr>
          <w:p w:rsidR="002F23AA" w:rsidRPr="00274DF7" w:rsidRDefault="002F23AA" w:rsidP="008057B1">
            <w:pPr>
              <w:widowControl w:val="0"/>
              <w:tabs>
                <w:tab w:val="left" w:pos="0"/>
              </w:tabs>
              <w:autoSpaceDE w:val="0"/>
              <w:autoSpaceDN w:val="0"/>
              <w:adjustRightInd w:val="0"/>
              <w:rPr>
                <w:bCs/>
                <w:sz w:val="20"/>
                <w:szCs w:val="20"/>
              </w:rPr>
            </w:pPr>
          </w:p>
        </w:tc>
      </w:tr>
    </w:tbl>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tabs>
          <w:tab w:val="left" w:pos="368"/>
        </w:tabs>
        <w:autoSpaceDE w:val="0"/>
        <w:autoSpaceDN w:val="0"/>
        <w:adjustRightInd w:val="0"/>
        <w:spacing w:line="277" w:lineRule="exact"/>
      </w:pPr>
    </w:p>
    <w:p w:rsidR="002F23AA" w:rsidRDefault="002F23AA" w:rsidP="002F23AA">
      <w:pPr>
        <w:widowControl w:val="0"/>
        <w:autoSpaceDE w:val="0"/>
        <w:autoSpaceDN w:val="0"/>
        <w:adjustRightInd w:val="0"/>
        <w:ind w:left="-540"/>
      </w:pPr>
      <w:r w:rsidRPr="00274DF7">
        <w:tab/>
      </w:r>
      <w:r w:rsidRPr="00274DF7">
        <w:tab/>
      </w:r>
      <w:r w:rsidRPr="00274DF7">
        <w:tab/>
      </w:r>
      <w:r w:rsidRPr="00274DF7">
        <w:tab/>
      </w:r>
      <w:r w:rsidRPr="00274DF7">
        <w:tab/>
      </w:r>
      <w:r w:rsidRPr="00274DF7">
        <w:tab/>
      </w:r>
    </w:p>
    <w:sectPr w:rsidR="002F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ell M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AA"/>
    <w:rsid w:val="002763FD"/>
    <w:rsid w:val="002F23AA"/>
    <w:rsid w:val="006A238A"/>
    <w:rsid w:val="00C96AEA"/>
    <w:rsid w:val="00CB1B72"/>
    <w:rsid w:val="00E531CB"/>
    <w:rsid w:val="00FE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B2F4441-D033-4B4A-9791-15C855A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AA"/>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2F23AA"/>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6A2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cp:lastModifiedBy>
  <cp:revision>3</cp:revision>
  <cp:lastPrinted>2014-04-16T15:43:00Z</cp:lastPrinted>
  <dcterms:created xsi:type="dcterms:W3CDTF">2014-04-16T15:40:00Z</dcterms:created>
  <dcterms:modified xsi:type="dcterms:W3CDTF">2014-04-16T15:43:00Z</dcterms:modified>
</cp:coreProperties>
</file>