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74911" w:rsidRPr="000403C0" w:rsidTr="008057B1">
        <w:trPr>
          <w:trHeight w:val="390"/>
        </w:trPr>
        <w:tc>
          <w:tcPr>
            <w:tcW w:w="205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910527" wp14:editId="2A7F94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74911" w:rsidRPr="000403C0" w:rsidTr="008057B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74911" w:rsidRPr="000403C0" w:rsidRDefault="00774911" w:rsidP="008057B1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4911" w:rsidRPr="000403C0" w:rsidTr="008057B1">
        <w:trPr>
          <w:trHeight w:val="390"/>
        </w:trPr>
        <w:tc>
          <w:tcPr>
            <w:tcW w:w="205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4911" w:rsidRPr="000403C0" w:rsidTr="008057B1">
        <w:trPr>
          <w:trHeight w:val="612"/>
        </w:trPr>
        <w:tc>
          <w:tcPr>
            <w:tcW w:w="205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4911" w:rsidRPr="000403C0" w:rsidTr="008057B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774911" w:rsidRPr="000403C0" w:rsidTr="008057B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-105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4911" w:rsidRPr="000403C0" w:rsidTr="008057B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11" w:rsidRPr="000403C0" w:rsidTr="008057B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0403C0"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4911" w:rsidRPr="000403C0" w:rsidTr="008057B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11" w:rsidRPr="000403C0" w:rsidTr="008057B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403C0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11" w:rsidRPr="000403C0" w:rsidTr="008057B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11" w:rsidRPr="000403C0" w:rsidTr="008057B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74911" w:rsidRPr="000403C0" w:rsidRDefault="00774911" w:rsidP="008057B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4911" w:rsidRDefault="00774911" w:rsidP="00774911">
      <w:pPr>
        <w:pStyle w:val="p14"/>
        <w:ind w:left="-600"/>
        <w:rPr>
          <w:b/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b/>
          <w:sz w:val="22"/>
          <w:szCs w:val="22"/>
        </w:rPr>
      </w:pPr>
      <w:r>
        <w:rPr>
          <w:b/>
          <w:sz w:val="22"/>
          <w:szCs w:val="22"/>
        </w:rPr>
        <w:t>EDGEWATER MARINA WAVE SCREEN REPAIRS</w:t>
      </w:r>
      <w:r w:rsidR="00850F2F"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>CONSTRUCTION MANAGEMENT SERVICES</w:t>
      </w:r>
    </w:p>
    <w:p w:rsidR="00774911" w:rsidRDefault="00774911" w:rsidP="00774911">
      <w:pPr>
        <w:pStyle w:val="p14"/>
        <w:ind w:left="-600"/>
        <w:rPr>
          <w:b/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Edgewater Marina suffered damage as a result of Hurricane Irene and Hurricane Sandy and applied for federal aid for disaster recovery; and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 w:rsidRPr="00C37866">
        <w:rPr>
          <w:b/>
          <w:sz w:val="22"/>
          <w:szCs w:val="22"/>
        </w:rPr>
        <w:t xml:space="preserve">WHEREAS </w:t>
      </w:r>
      <w:r>
        <w:rPr>
          <w:sz w:val="22"/>
          <w:szCs w:val="22"/>
        </w:rPr>
        <w:t>the Federal Emergency Management Agency awarded the Borough of Edgewater $414,060.50 in disaster recovery for the repair of the marina wave screen; and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Pr="00C37866" w:rsidRDefault="00774911" w:rsidP="00774911">
      <w:pPr>
        <w:pStyle w:val="p14"/>
        <w:ind w:left="-600"/>
        <w:rPr>
          <w:sz w:val="22"/>
          <w:szCs w:val="22"/>
        </w:rPr>
      </w:pPr>
      <w:r>
        <w:rPr>
          <w:b/>
          <w:sz w:val="22"/>
          <w:szCs w:val="22"/>
        </w:rPr>
        <w:t xml:space="preserve">WHEREAS </w:t>
      </w:r>
      <w:r>
        <w:rPr>
          <w:sz w:val="22"/>
          <w:szCs w:val="22"/>
        </w:rPr>
        <w:t xml:space="preserve">on November 8, 2013 sealed bids were accepted for the repair of the wind screen and on December 16, 2013 an award was made to </w:t>
      </w:r>
      <w:proofErr w:type="spellStart"/>
      <w:r>
        <w:rPr>
          <w:sz w:val="22"/>
          <w:szCs w:val="22"/>
        </w:rPr>
        <w:t>Reicon</w:t>
      </w:r>
      <w:proofErr w:type="spellEnd"/>
      <w:r>
        <w:rPr>
          <w:sz w:val="22"/>
          <w:szCs w:val="22"/>
        </w:rPr>
        <w:t xml:space="preserve"> Group LLC, 1983 Richmond Terrace, Staten Island New York 10302 in the amount of $274,250.00; and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 w:rsidRPr="000403C0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Neglia</w:t>
      </w:r>
      <w:proofErr w:type="spellEnd"/>
      <w:r>
        <w:rPr>
          <w:sz w:val="22"/>
          <w:szCs w:val="22"/>
        </w:rPr>
        <w:t xml:space="preserve"> Engineering Associates, 34 Park Avenue, PO Box 426, Lyndhurst, NJ  07071 has submitted a proposal dated April 15, 2014 for the Construction Management services for said project outlining a Scope of Services in the amount not to exceed Seventeen Thousand Eight Hundred Fifty Zero Cents ($17,850.00); and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 w:rsidRPr="000403C0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Chief Financial Officer Joseph Iannaconi, Jr. has certified that funds are available as follows: 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>I, Joseph Iannaconi, Jr. has certified that funds are available for this project through Ordinance No. 1484 and 1499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>JOSEPH IANNACONI, JR., C.F.O.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NOW, THEREFORE, BE IT RESOLVED </w:t>
      </w:r>
      <w:r>
        <w:rPr>
          <w:sz w:val="22"/>
          <w:szCs w:val="22"/>
        </w:rPr>
        <w:t xml:space="preserve">by the Governing Body that the proposal for Professional Services submitted by Borough Engineer </w:t>
      </w:r>
      <w:proofErr w:type="spellStart"/>
      <w:r>
        <w:rPr>
          <w:sz w:val="22"/>
          <w:szCs w:val="22"/>
        </w:rPr>
        <w:t>Neglia</w:t>
      </w:r>
      <w:proofErr w:type="spellEnd"/>
      <w:r>
        <w:rPr>
          <w:sz w:val="22"/>
          <w:szCs w:val="22"/>
        </w:rPr>
        <w:t xml:space="preserve"> Engineering Associates in the amount not to exceed $17,850.00 is hereby accepted; and</w:t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Pr="00A062FB" w:rsidRDefault="00774911" w:rsidP="00774911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>BE IT FURTHER RESOLVED by the Governing Body that the Mayor and Borough Clerk are hereby authorized to sign said proposal.</w:t>
      </w:r>
    </w:p>
    <w:p w:rsidR="00774911" w:rsidRPr="00A062FB" w:rsidRDefault="00774911" w:rsidP="00774911">
      <w:pPr>
        <w:ind w:firstLine="720"/>
        <w:rPr>
          <w:sz w:val="22"/>
          <w:szCs w:val="22"/>
        </w:rPr>
      </w:pPr>
      <w:r w:rsidRPr="00A062FB">
        <w:rPr>
          <w:sz w:val="22"/>
          <w:szCs w:val="22"/>
        </w:rPr>
        <w:tab/>
      </w:r>
      <w:r w:rsidRPr="00A062FB">
        <w:rPr>
          <w:sz w:val="22"/>
          <w:szCs w:val="22"/>
        </w:rPr>
        <w:tab/>
      </w:r>
      <w:r w:rsidRPr="00A062FB">
        <w:rPr>
          <w:sz w:val="22"/>
          <w:szCs w:val="22"/>
        </w:rPr>
        <w:tab/>
      </w:r>
      <w:r w:rsidRPr="00A062FB">
        <w:rPr>
          <w:sz w:val="22"/>
          <w:szCs w:val="22"/>
        </w:rPr>
        <w:tab/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 w:rsidRPr="00A062FB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>April 21, 2014.</w:t>
      </w:r>
      <w:r>
        <w:rPr>
          <w:sz w:val="22"/>
          <w:szCs w:val="22"/>
        </w:rPr>
        <w:tab/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74911" w:rsidRDefault="00774911" w:rsidP="00774911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774911" w:rsidRDefault="00774911" w:rsidP="00774911">
      <w:pPr>
        <w:pStyle w:val="p14"/>
        <w:ind w:left="-6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b/>
            <w:sz w:val="22"/>
            <w:szCs w:val="22"/>
          </w:rPr>
          <w:t>BARBARA RAE</w:t>
        </w:r>
      </w:smartTag>
      <w:r>
        <w:rPr>
          <w:b/>
          <w:sz w:val="22"/>
          <w:szCs w:val="22"/>
        </w:rPr>
        <w:t>, RMC, CMC</w:t>
      </w:r>
    </w:p>
    <w:p w:rsidR="00774911" w:rsidRDefault="00774911" w:rsidP="00774911">
      <w:pPr>
        <w:pStyle w:val="p14"/>
        <w:ind w:left="-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Borough Clerk</w:t>
      </w:r>
    </w:p>
    <w:p w:rsidR="00CB1B72" w:rsidRDefault="00CB1B72"/>
    <w:sectPr w:rsidR="00CB1B72" w:rsidSect="00C85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11"/>
    <w:rsid w:val="00774911"/>
    <w:rsid w:val="00850F2F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D36BE-2771-4386-9A09-C23F68E6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774911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2014-04-16T14:31:00Z</dcterms:created>
  <dcterms:modified xsi:type="dcterms:W3CDTF">2014-04-16T14:31:00Z</dcterms:modified>
</cp:coreProperties>
</file>