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FC57FC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21, 2016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FC57FC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  <w:r w:rsidR="00C90AAB">
              <w:rPr>
                <w:rFonts w:ascii="Arial" w:hAnsi="Arial" w:cs="Arial"/>
              </w:rPr>
              <w:t>-065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344A08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FC57FC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344A08" w:rsidRDefault="00D30904" w:rsidP="006944B4">
            <w:pPr>
              <w:rPr>
                <w:rFonts w:ascii="Arial" w:hAnsi="Arial" w:cs="Arial"/>
              </w:rPr>
            </w:pPr>
            <w:r w:rsidRPr="00344A08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344A08" w:rsidRDefault="00FC57FC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FC57FC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C50CBC" w:rsidRDefault="00C50CBC" w:rsidP="00C50CBC">
      <w:r>
        <w:t>Resolution to au</w:t>
      </w:r>
      <w:r w:rsidR="00FC57FC">
        <w:t>thorize the purchase of three (3) Multi-Space Pay Station Parking Meters</w:t>
      </w:r>
    </w:p>
    <w:p w:rsidR="00C50CBC" w:rsidRDefault="00C50CBC" w:rsidP="00C50CBC">
      <w:pPr>
        <w:jc w:val="center"/>
      </w:pPr>
    </w:p>
    <w:p w:rsidR="00C50CBC" w:rsidRDefault="00C50CBC" w:rsidP="00C50CBC">
      <w:r>
        <w:rPr>
          <w:b/>
        </w:rPr>
        <w:t>WHEREAS</w:t>
      </w:r>
      <w:r w:rsidR="00FC57FC">
        <w:rPr>
          <w:b/>
        </w:rPr>
        <w:t>,</w:t>
      </w:r>
      <w:r>
        <w:rPr>
          <w:b/>
        </w:rPr>
        <w:t xml:space="preserve"> </w:t>
      </w:r>
      <w:r>
        <w:t xml:space="preserve">the Borough of Edgewater is desirous of automating its parking meter management and payment system at the </w:t>
      </w:r>
      <w:r w:rsidR="00FC57FC">
        <w:t xml:space="preserve">municipal lot at Old River Road and Thompson Lane in Shadyside </w:t>
      </w:r>
      <w:r>
        <w:t>and,</w:t>
      </w:r>
    </w:p>
    <w:p w:rsidR="00C50CBC" w:rsidRDefault="00C50CBC" w:rsidP="00C50CBC"/>
    <w:p w:rsidR="00C50CBC" w:rsidRDefault="00C50CBC" w:rsidP="00C50CBC">
      <w:r>
        <w:rPr>
          <w:b/>
        </w:rPr>
        <w:t>WHEREAS</w:t>
      </w:r>
      <w:r w:rsidR="00FC57FC">
        <w:rPr>
          <w:b/>
        </w:rPr>
        <w:t>,</w:t>
      </w:r>
      <w:r>
        <w:rPr>
          <w:b/>
        </w:rPr>
        <w:t xml:space="preserve"> </w:t>
      </w:r>
      <w:r w:rsidR="00FC57FC">
        <w:t xml:space="preserve">the Borough of Edgewater adopted ordinance 1515-2014, amending and supplementing chapter 282, Parking Lots, Article II, Shadyside, to regulate the issuance of employee and resident parking permits </w:t>
      </w:r>
      <w:r w:rsidR="0012509F">
        <w:t>as well as meter</w:t>
      </w:r>
      <w:r w:rsidR="00FC57FC">
        <w:t xml:space="preserve"> certain municipal lots in the Borough of Edgewater that will regulate the parking for residents, businesses, customers, and visitors, </w:t>
      </w:r>
      <w:r w:rsidR="0012509F">
        <w:t>and</w:t>
      </w:r>
    </w:p>
    <w:p w:rsidR="00C50CBC" w:rsidRDefault="00C50CBC" w:rsidP="00C50CBC"/>
    <w:p w:rsidR="00FC57FC" w:rsidRDefault="00C50CBC" w:rsidP="00C50CBC">
      <w:r>
        <w:rPr>
          <w:b/>
        </w:rPr>
        <w:t>WHEREAS</w:t>
      </w:r>
      <w:r w:rsidR="00FC57FC">
        <w:rPr>
          <w:b/>
        </w:rPr>
        <w:t>,</w:t>
      </w:r>
      <w:r>
        <w:rPr>
          <w:b/>
        </w:rPr>
        <w:t xml:space="preserve"> </w:t>
      </w:r>
      <w:r w:rsidR="00FC57FC">
        <w:t xml:space="preserve">the Borough of Edgewater is a member of the Cranford Cooperative Pricing System </w:t>
      </w:r>
      <w:r w:rsidR="0012509F">
        <w:t>who has awarded a contract to Integrated Technical Systems, 9 Whippany Road, Building A-1, Suite 6, Whippany, New Jersey 07981, and</w:t>
      </w:r>
    </w:p>
    <w:p w:rsidR="00FC57FC" w:rsidRDefault="00FC57FC" w:rsidP="00C50CBC"/>
    <w:p w:rsidR="0012509F" w:rsidRPr="0012509F" w:rsidRDefault="0012509F" w:rsidP="00C50CBC">
      <w:r w:rsidRPr="0012509F">
        <w:rPr>
          <w:b/>
        </w:rPr>
        <w:t xml:space="preserve">WHEREAS, </w:t>
      </w:r>
      <w:r>
        <w:t>the Borough of Edgewater is desirous of purchasing three (3) Luke II Pay Stations at $8,960.00 each plus necessary equipment and software for a total purchase price of $32,714.25</w:t>
      </w:r>
    </w:p>
    <w:p w:rsidR="0012509F" w:rsidRDefault="0012509F" w:rsidP="00C50CBC"/>
    <w:p w:rsidR="0012509F" w:rsidRDefault="0012509F" w:rsidP="00C50CBC">
      <w:r>
        <w:rPr>
          <w:b/>
        </w:rPr>
        <w:t xml:space="preserve">NOW THEREFORE BE IT RESOLVED, </w:t>
      </w:r>
      <w:r>
        <w:t xml:space="preserve">by the Edgewater Mayor and Council that he hereby authorize the Borough to purchase the above referenced </w:t>
      </w:r>
      <w:r w:rsidR="00364FBC">
        <w:t>pay stations from Integrated Technical Systems, and</w:t>
      </w:r>
    </w:p>
    <w:p w:rsidR="00364FBC" w:rsidRDefault="00364FBC" w:rsidP="00C50CBC"/>
    <w:p w:rsidR="00364FBC" w:rsidRDefault="00364FBC" w:rsidP="00C50CBC">
      <w:r>
        <w:rPr>
          <w:b/>
        </w:rPr>
        <w:t xml:space="preserve">BE IT FURTHER RESOLVED, </w:t>
      </w:r>
      <w:r>
        <w:t>that the referenced purchase is authorized utilizing funds made available in an escrow account specifically created for the improvements of the Shadyside Parking Lot</w:t>
      </w:r>
      <w:r w:rsidR="00303BA1">
        <w:t xml:space="preserve"> by way of a settlement agreement dated April 21, 1995</w:t>
      </w:r>
      <w:r>
        <w:t xml:space="preserve">, and </w:t>
      </w:r>
    </w:p>
    <w:p w:rsidR="00303BA1" w:rsidRDefault="00303BA1" w:rsidP="00C50CBC"/>
    <w:p w:rsidR="00303BA1" w:rsidRDefault="00303BA1" w:rsidP="00C50CBC">
      <w:r>
        <w:rPr>
          <w:b/>
        </w:rPr>
        <w:t xml:space="preserve">BE IT FURTHER RESOLVED, </w:t>
      </w:r>
      <w:r>
        <w:t>that the chief financial officer has certified funds available for this purchase.</w:t>
      </w:r>
    </w:p>
    <w:p w:rsidR="00303BA1" w:rsidRDefault="00303BA1" w:rsidP="00C50CBC"/>
    <w:p w:rsidR="00303BA1" w:rsidRDefault="00303BA1" w:rsidP="00C50CBC"/>
    <w:p w:rsidR="00303BA1" w:rsidRDefault="00303BA1" w:rsidP="00C50CBC">
      <w:r>
        <w:lastRenderedPageBreak/>
        <w:t>____________________________</w:t>
      </w:r>
    </w:p>
    <w:p w:rsidR="00303BA1" w:rsidRPr="00303BA1" w:rsidRDefault="00303BA1" w:rsidP="00C50CBC">
      <w:r>
        <w:t>Sercan Zoklu – Chief Financial Officer</w:t>
      </w:r>
    </w:p>
    <w:p w:rsidR="0012509F" w:rsidRDefault="0012509F" w:rsidP="00C50CBC"/>
    <w:p w:rsidR="00C50CBC" w:rsidRPr="00505C56" w:rsidRDefault="00C50CBC" w:rsidP="00C50CBC">
      <w:pPr>
        <w:pStyle w:val="NoSpacing"/>
        <w:rPr>
          <w:rFonts w:ascii="Arial" w:hAnsi="Arial" w:cs="Arial"/>
        </w:rPr>
      </w:pPr>
    </w:p>
    <w:p w:rsidR="00303BA1" w:rsidRDefault="00303BA1" w:rsidP="00C50CBC">
      <w:pPr>
        <w:pStyle w:val="NoSpacing"/>
        <w:rPr>
          <w:rFonts w:ascii="Arial" w:hAnsi="Arial" w:cs="Arial"/>
        </w:rPr>
      </w:pPr>
    </w:p>
    <w:p w:rsidR="00303BA1" w:rsidRDefault="00303BA1" w:rsidP="00C50CBC">
      <w:pPr>
        <w:pStyle w:val="NoSpacing"/>
        <w:rPr>
          <w:rFonts w:ascii="Arial" w:hAnsi="Arial" w:cs="Arial"/>
        </w:rPr>
      </w:pPr>
    </w:p>
    <w:p w:rsidR="00C50CBC" w:rsidRPr="00505C56" w:rsidRDefault="00C50CBC" w:rsidP="00C50CBC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303BA1">
        <w:rPr>
          <w:rFonts w:ascii="Arial" w:hAnsi="Arial" w:cs="Arial"/>
        </w:rPr>
        <w:t>March 21, 2016</w:t>
      </w:r>
      <w:r>
        <w:rPr>
          <w:rFonts w:ascii="Arial" w:hAnsi="Arial" w:cs="Arial"/>
        </w:rPr>
        <w:t>.</w:t>
      </w:r>
    </w:p>
    <w:p w:rsidR="00C50CBC" w:rsidRDefault="00C50CBC" w:rsidP="00C50CBC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0CBC" w:rsidRPr="00505C56" w:rsidRDefault="00C50CBC" w:rsidP="00C50CBC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C50CBC" w:rsidP="00C50CBC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2509F"/>
    <w:rsid w:val="0018522A"/>
    <w:rsid w:val="0024764E"/>
    <w:rsid w:val="00303BA1"/>
    <w:rsid w:val="00331496"/>
    <w:rsid w:val="00344A08"/>
    <w:rsid w:val="00364FBC"/>
    <w:rsid w:val="005C47E1"/>
    <w:rsid w:val="00733CD6"/>
    <w:rsid w:val="00737C6F"/>
    <w:rsid w:val="0075095F"/>
    <w:rsid w:val="007B53A1"/>
    <w:rsid w:val="00B024EA"/>
    <w:rsid w:val="00C50CBC"/>
    <w:rsid w:val="00C90AAB"/>
    <w:rsid w:val="00D30904"/>
    <w:rsid w:val="00D30E2D"/>
    <w:rsid w:val="00F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50C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50C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cp:lastPrinted>2015-02-10T14:50:00Z</cp:lastPrinted>
  <dcterms:created xsi:type="dcterms:W3CDTF">2016-03-15T20:50:00Z</dcterms:created>
  <dcterms:modified xsi:type="dcterms:W3CDTF">2016-03-15T20:50:00Z</dcterms:modified>
</cp:coreProperties>
</file>