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ED6EF6" wp14:editId="18C6BD9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6DF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46DF0">
              <w:rPr>
                <w:rFonts w:eastAsia="Times New Roman"/>
                <w:sz w:val="20"/>
                <w:szCs w:val="20"/>
              </w:rPr>
              <w:t>052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946DF0" w:rsidRDefault="00946DF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946DF0" w:rsidRPr="00257E41" w:rsidRDefault="00946DF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46DF0" w:rsidRDefault="00946DF0" w:rsidP="00946DF0">
      <w:pPr>
        <w:pStyle w:val="NoSpacing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a property tax appeal filed by Caribbean House (herein the “Tax Appeal”) under Docket Number 011661-2011; 009951-2012; 005003-13; 005433-14; 005496-15, and;</w:t>
      </w:r>
    </w:p>
    <w:p w:rsidR="00946DF0" w:rsidRDefault="00946DF0" w:rsidP="00946DF0">
      <w:pPr>
        <w:pStyle w:val="NoSpacing"/>
      </w:pPr>
    </w:p>
    <w:p w:rsidR="00946DF0" w:rsidRDefault="00946DF0" w:rsidP="00946DF0">
      <w:pPr>
        <w:pStyle w:val="NoSpacing"/>
      </w:pPr>
      <w:r>
        <w:rPr>
          <w:b/>
          <w:bCs/>
        </w:rPr>
        <w:t xml:space="preserve">WHEREAS, </w:t>
      </w:r>
      <w:r>
        <w:t>the subject property is located at Block 2 Lot 5, and is more known as 1375 River Road on the tax assessment map of the Borough, and;</w:t>
      </w:r>
    </w:p>
    <w:p w:rsidR="00946DF0" w:rsidRDefault="00946DF0" w:rsidP="00946DF0">
      <w:pPr>
        <w:pStyle w:val="NoSpacing"/>
      </w:pPr>
      <w:bookmarkStart w:id="0" w:name="_GoBack"/>
      <w:bookmarkEnd w:id="0"/>
    </w:p>
    <w:p w:rsidR="00946DF0" w:rsidRDefault="00946DF0" w:rsidP="00946DF0">
      <w:pPr>
        <w:pStyle w:val="NoSpacing"/>
      </w:pPr>
      <w:r>
        <w:rPr>
          <w:b/>
          <w:bCs/>
        </w:rPr>
        <w:t xml:space="preserve">WHEREAS, </w:t>
      </w:r>
      <w:r>
        <w:t>the said Governing Body has been advised as to the merits of the subject tax appeal settlement by legal counsel and the Borough tax assessor, and;</w:t>
      </w:r>
    </w:p>
    <w:p w:rsidR="00946DF0" w:rsidRDefault="00946DF0" w:rsidP="00946DF0">
      <w:pPr>
        <w:pStyle w:val="NoSpacing"/>
      </w:pPr>
    </w:p>
    <w:p w:rsidR="00946DF0" w:rsidRDefault="00946DF0" w:rsidP="00946DF0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“A” attached hereto and made a part hereof, and; </w:t>
      </w:r>
    </w:p>
    <w:p w:rsidR="00946DF0" w:rsidRDefault="00946DF0" w:rsidP="00946DF0">
      <w:pPr>
        <w:pStyle w:val="NoSpacing"/>
      </w:pPr>
    </w:p>
    <w:p w:rsidR="00946DF0" w:rsidRDefault="00946DF0" w:rsidP="00946DF0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hereinabove.</w:t>
      </w:r>
    </w:p>
    <w:p w:rsidR="00946DF0" w:rsidRDefault="00946DF0" w:rsidP="00946DF0">
      <w:pPr>
        <w:pStyle w:val="NoSpacing"/>
      </w:pPr>
    </w:p>
    <w:p w:rsidR="00946DF0" w:rsidRDefault="00946DF0" w:rsidP="00946DF0">
      <w:pPr>
        <w:pStyle w:val="NoSpacing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 be finalized in accordance with the enclosed Schedule “A”, and;</w:t>
      </w:r>
    </w:p>
    <w:p w:rsidR="00946DF0" w:rsidRDefault="00946DF0" w:rsidP="00946DF0">
      <w:pPr>
        <w:jc w:val="both"/>
      </w:pPr>
    </w:p>
    <w:p w:rsidR="00946DF0" w:rsidRDefault="00946DF0" w:rsidP="00946DF0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February 16,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C" w:rsidRDefault="00D11E6C">
      <w:pPr>
        <w:spacing w:after="0"/>
      </w:pPr>
      <w:r>
        <w:separator/>
      </w:r>
    </w:p>
  </w:endnote>
  <w:endnote w:type="continuationSeparator" w:id="0">
    <w:p w:rsidR="00D11E6C" w:rsidRDefault="00D11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46D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C" w:rsidRDefault="00D11E6C">
      <w:pPr>
        <w:spacing w:after="0"/>
      </w:pPr>
      <w:r>
        <w:separator/>
      </w:r>
    </w:p>
  </w:footnote>
  <w:footnote w:type="continuationSeparator" w:id="0">
    <w:p w:rsidR="00D11E6C" w:rsidRDefault="00D11E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946DF0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ED5E-9CC8-4DA3-849D-9244F5CA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2016-02-10T21:08:00Z</dcterms:created>
  <dcterms:modified xsi:type="dcterms:W3CDTF">2016-02-10T21:08:00Z</dcterms:modified>
</cp:coreProperties>
</file>