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31A6" w14:textId="77777777" w:rsidR="00576306" w:rsidRDefault="00576306" w:rsidP="00576306">
      <w:pPr>
        <w:jc w:val="center"/>
        <w:rPr>
          <w:rFonts w:ascii="Arial" w:hAnsi="Arial" w:cs="Arial"/>
          <w:b/>
          <w:bCs/>
        </w:rPr>
      </w:pPr>
      <w:r>
        <w:rPr>
          <w:rFonts w:ascii="Arial" w:hAnsi="Arial" w:cs="Arial"/>
          <w:b/>
          <w:bCs/>
        </w:rPr>
        <w:t>Borough of Edgewater</w:t>
      </w:r>
    </w:p>
    <w:p w14:paraId="05D87DDB" w14:textId="77777777" w:rsidR="00576306" w:rsidRDefault="00576306" w:rsidP="00576306">
      <w:pPr>
        <w:jc w:val="center"/>
        <w:rPr>
          <w:rFonts w:ascii="Arial" w:hAnsi="Arial" w:cs="Arial"/>
          <w:b/>
          <w:bCs/>
        </w:rPr>
      </w:pPr>
      <w:r>
        <w:rPr>
          <w:rFonts w:ascii="Arial" w:hAnsi="Arial" w:cs="Arial"/>
          <w:b/>
          <w:bCs/>
        </w:rPr>
        <w:t>ORDINANCE NO. 2024-011</w:t>
      </w:r>
    </w:p>
    <w:p w14:paraId="5D60F826" w14:textId="77777777" w:rsidR="00576306" w:rsidRDefault="00576306" w:rsidP="00576306">
      <w:pPr>
        <w:jc w:val="both"/>
        <w:rPr>
          <w:rFonts w:ascii="Arial" w:hAnsi="Arial" w:cs="Arial"/>
          <w:b/>
          <w:bCs/>
        </w:rPr>
      </w:pPr>
    </w:p>
    <w:p w14:paraId="6C1CAF7B" w14:textId="77777777" w:rsidR="00576306" w:rsidRDefault="00576306" w:rsidP="00576306">
      <w:pPr>
        <w:ind w:left="1440" w:right="1440"/>
        <w:jc w:val="both"/>
        <w:rPr>
          <w:rFonts w:ascii="Arial" w:hAnsi="Arial" w:cs="Arial"/>
          <w:b/>
          <w:bCs/>
        </w:rPr>
      </w:pPr>
      <w:r>
        <w:rPr>
          <w:rFonts w:ascii="Arial" w:hAnsi="Arial" w:cs="Arial"/>
          <w:b/>
          <w:bCs/>
        </w:rPr>
        <w:t>AN ORDINANCE OF THE BOROUGH OF EDGEWATER, IN THE COUNTY OF BERGEN, NEW JERSEY, PROVIDING FOR VARIOUS ACQUISITIONS AND IMPROVEMENTS IN AND FOR THE BOROUGH OF EDGEWATER AND APPROPRIATING $1,800,000 THEREFOR, AND PROVIDING FOR THE ISSUANCE OF $1,710,000 IN BONDS OR NOTES OF THE BOROUGH OF EDGEWATER TO FINANCE THE SAME</w:t>
      </w:r>
    </w:p>
    <w:p w14:paraId="2384EE2F" w14:textId="77777777" w:rsidR="00576306" w:rsidRDefault="00576306" w:rsidP="00576306">
      <w:pPr>
        <w:jc w:val="both"/>
        <w:rPr>
          <w:rFonts w:ascii="Arial" w:hAnsi="Arial" w:cs="Arial"/>
        </w:rPr>
      </w:pPr>
    </w:p>
    <w:p w14:paraId="3DB23526" w14:textId="77777777" w:rsidR="00576306" w:rsidRDefault="00576306" w:rsidP="00576306">
      <w:pPr>
        <w:spacing w:line="480" w:lineRule="auto"/>
        <w:ind w:firstLine="720"/>
        <w:jc w:val="both"/>
        <w:rPr>
          <w:rFonts w:ascii="Arial" w:hAnsi="Arial" w:cs="Arial"/>
        </w:rPr>
      </w:pPr>
      <w:r>
        <w:rPr>
          <w:rFonts w:ascii="Arial" w:hAnsi="Arial" w:cs="Arial"/>
        </w:rPr>
        <w:t>BE IT ORDAINED BY THE BOROUGH COUNCIL OF THE BOROUGH OF EDGEWATER, IN THE COUNTY OF BERGEN, NEW JERSEY (not less than two-thirds of all members thereof affirmatively concurring), AS FOLLOWS:</w:t>
      </w:r>
    </w:p>
    <w:p w14:paraId="78ADD5DB" w14:textId="77777777" w:rsidR="00576306" w:rsidRDefault="00576306" w:rsidP="00576306">
      <w:pPr>
        <w:spacing w:line="480" w:lineRule="auto"/>
        <w:ind w:firstLine="720"/>
        <w:jc w:val="both"/>
        <w:rPr>
          <w:rFonts w:ascii="Arial" w:hAnsi="Arial" w:cs="Arial"/>
        </w:rPr>
      </w:pPr>
      <w:r>
        <w:rPr>
          <w:rFonts w:ascii="Arial" w:hAnsi="Arial" w:cs="Arial"/>
          <w:u w:val="single"/>
        </w:rPr>
        <w:t>Section 1</w:t>
      </w:r>
      <w:r>
        <w:rPr>
          <w:rFonts w:ascii="Arial" w:hAnsi="Arial" w:cs="Arial"/>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$1,800,000, </w:t>
      </w:r>
      <w:r>
        <w:rPr>
          <w:rFonts w:ascii="Arial" w:hAnsi="Arial" w:cs="Arial"/>
          <w:color w:val="000000"/>
        </w:rPr>
        <w:t xml:space="preserve">including the sum of $90,000 as the down payment for the improvements or purposes required by the Local Bond Law.  The down payment has been made available by virtue of provision in the capital improvement fund in one or more previously adopted budgets.  </w:t>
      </w:r>
    </w:p>
    <w:p w14:paraId="3FF237B5" w14:textId="77777777" w:rsidR="00576306" w:rsidRDefault="00576306" w:rsidP="00576306">
      <w:pPr>
        <w:spacing w:line="480" w:lineRule="auto"/>
        <w:ind w:firstLine="720"/>
        <w:jc w:val="both"/>
        <w:rPr>
          <w:rFonts w:ascii="Arial" w:hAnsi="Arial" w:cs="Arial"/>
        </w:rPr>
      </w:pPr>
      <w:r>
        <w:rPr>
          <w:rFonts w:ascii="Arial" w:hAnsi="Arial" w:cs="Arial"/>
          <w:u w:val="single"/>
        </w:rPr>
        <w:t>Section 2</w:t>
      </w:r>
      <w:r>
        <w:rPr>
          <w:rFonts w:ascii="Arial" w:hAnsi="Arial" w:cs="Arial"/>
        </w:rPr>
        <w:t>.  In order to finance the cost of the improvements or purposes not otherwise provided for hereunder, negotiable bonds or notes are hereby authorized to be issued in the principal amount of $1,710,000 pursuant to the Local Bond Law.  In anticipation of the issuance of the bonds or notes, negotiable bond anticipation notes are hereby authorized to be issued pursuant to and within the limitations prescribed by the Local Bond Law.</w:t>
      </w:r>
    </w:p>
    <w:p w14:paraId="4A4FEC0D" w14:textId="77777777" w:rsidR="00576306" w:rsidRDefault="00576306" w:rsidP="00576306">
      <w:pPr>
        <w:spacing w:line="480" w:lineRule="auto"/>
        <w:ind w:firstLine="720"/>
        <w:jc w:val="both"/>
        <w:rPr>
          <w:rFonts w:ascii="Arial" w:hAnsi="Arial" w:cs="Arial"/>
        </w:rPr>
      </w:pPr>
      <w:r>
        <w:rPr>
          <w:rFonts w:ascii="Arial" w:hAnsi="Arial" w:cs="Arial"/>
          <w:u w:val="single"/>
        </w:rPr>
        <w:t>Section 3</w:t>
      </w:r>
      <w:r>
        <w:rPr>
          <w:rFonts w:ascii="Arial" w:hAnsi="Arial" w:cs="Arial"/>
        </w:rPr>
        <w:t>.      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14:paraId="771F8BA1" w14:textId="77777777" w:rsidR="00576306" w:rsidRDefault="00576306" w:rsidP="00576306">
      <w:pPr>
        <w:pStyle w:val="ListParagraph"/>
        <w:numPr>
          <w:ilvl w:val="0"/>
          <w:numId w:val="1"/>
        </w:numPr>
        <w:ind w:left="1440" w:right="720" w:hanging="630"/>
        <w:jc w:val="both"/>
        <w:rPr>
          <w:rFonts w:ascii="Arial" w:hAnsi="Arial" w:cs="Arial"/>
          <w:sz w:val="24"/>
          <w:szCs w:val="24"/>
        </w:rPr>
      </w:pPr>
      <w:bookmarkStart w:id="0" w:name="_Hlk134798574"/>
      <w:r>
        <w:rPr>
          <w:rFonts w:ascii="Arial" w:hAnsi="Arial" w:cs="Arial"/>
          <w:sz w:val="24"/>
          <w:szCs w:val="24"/>
          <w:u w:val="single"/>
        </w:rPr>
        <w:t>Purpose</w:t>
      </w:r>
      <w:bookmarkEnd w:id="0"/>
      <w:r>
        <w:rPr>
          <w:rFonts w:ascii="Arial" w:hAnsi="Arial" w:cs="Arial"/>
          <w:sz w:val="24"/>
          <w:szCs w:val="24"/>
        </w:rPr>
        <w:t>: Acquisition of information technology and telecommunications equipment including items with a unit cost less than $5,000, including, but not limited to, emergency radio communications and dispatch center improvements including but not limited to replacing emergency radio communications equipment, dispatch, mobile, portable, and server and switch upgrades, dispatch console equipment and furniture, and including all work and materials necessary therefor or incidental thereto.</w:t>
      </w:r>
    </w:p>
    <w:p w14:paraId="103CA8AF" w14:textId="77777777" w:rsidR="00576306" w:rsidRDefault="00576306" w:rsidP="00576306">
      <w:pPr>
        <w:pStyle w:val="ListParagraph"/>
        <w:ind w:left="1080" w:right="720"/>
        <w:jc w:val="both"/>
        <w:rPr>
          <w:rFonts w:ascii="Arial" w:hAnsi="Arial" w:cs="Arial"/>
          <w:sz w:val="24"/>
          <w:szCs w:val="24"/>
        </w:rPr>
      </w:pPr>
    </w:p>
    <w:p w14:paraId="02200B88" w14:textId="77777777" w:rsidR="00576306" w:rsidRDefault="00576306" w:rsidP="00576306">
      <w:pPr>
        <w:pStyle w:val="ListParagraph"/>
        <w:ind w:left="1080" w:right="720"/>
        <w:jc w:val="both"/>
        <w:rPr>
          <w:rFonts w:ascii="Arial" w:hAnsi="Arial" w:cs="Arial"/>
          <w:sz w:val="24"/>
          <w:szCs w:val="24"/>
        </w:rPr>
      </w:pPr>
      <w:r>
        <w:rPr>
          <w:rFonts w:ascii="Arial" w:hAnsi="Arial" w:cs="Arial"/>
          <w:sz w:val="24"/>
          <w:szCs w:val="24"/>
        </w:rPr>
        <w:t xml:space="preserve">      </w:t>
      </w:r>
      <w:r>
        <w:rPr>
          <w:rFonts w:ascii="Arial" w:hAnsi="Arial" w:cs="Arial"/>
          <w:sz w:val="24"/>
          <w:szCs w:val="24"/>
          <w:u w:val="single"/>
        </w:rPr>
        <w:t>Appropriation and Estimated Cost</w:t>
      </w:r>
      <w:r>
        <w:rPr>
          <w:rFonts w:ascii="Arial" w:hAnsi="Arial" w:cs="Arial"/>
          <w:sz w:val="24"/>
          <w:szCs w:val="24"/>
        </w:rPr>
        <w:t>:                                               $700,000</w:t>
      </w:r>
    </w:p>
    <w:p w14:paraId="22671E99" w14:textId="77777777" w:rsidR="00576306" w:rsidRDefault="00576306" w:rsidP="00576306">
      <w:pPr>
        <w:pStyle w:val="ListParagraph"/>
        <w:ind w:left="1080" w:right="720"/>
        <w:jc w:val="both"/>
        <w:rPr>
          <w:rFonts w:ascii="Arial" w:hAnsi="Arial" w:cs="Arial"/>
          <w:sz w:val="24"/>
          <w:szCs w:val="24"/>
        </w:rPr>
      </w:pPr>
      <w:r>
        <w:rPr>
          <w:rFonts w:ascii="Arial" w:hAnsi="Arial" w:cs="Arial"/>
          <w:sz w:val="24"/>
          <w:szCs w:val="24"/>
        </w:rPr>
        <w:t xml:space="preserve">      </w:t>
      </w:r>
      <w:r>
        <w:rPr>
          <w:rFonts w:ascii="Arial" w:hAnsi="Arial" w:cs="Arial"/>
          <w:sz w:val="24"/>
          <w:szCs w:val="24"/>
          <w:u w:val="single"/>
        </w:rPr>
        <w:t>Amount of Down Payment</w:t>
      </w:r>
      <w:r>
        <w:rPr>
          <w:rFonts w:ascii="Arial" w:hAnsi="Arial" w:cs="Arial"/>
          <w:sz w:val="24"/>
          <w:szCs w:val="24"/>
        </w:rPr>
        <w:t>:                                                $35,000</w:t>
      </w:r>
    </w:p>
    <w:p w14:paraId="690DA448" w14:textId="77777777" w:rsidR="00576306" w:rsidRDefault="00576306" w:rsidP="00576306">
      <w:pPr>
        <w:pStyle w:val="ListParagraph"/>
        <w:ind w:left="1080" w:right="720"/>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u w:val="single"/>
        </w:rPr>
        <w:t>Estimated Maximum amount of Bonds or Notes</w:t>
      </w:r>
      <w:r>
        <w:rPr>
          <w:rFonts w:ascii="Arial" w:hAnsi="Arial" w:cs="Arial"/>
          <w:sz w:val="24"/>
          <w:szCs w:val="24"/>
        </w:rPr>
        <w:t>:                       $665,000</w:t>
      </w:r>
    </w:p>
    <w:p w14:paraId="4B6440B0" w14:textId="77777777" w:rsidR="00576306" w:rsidRDefault="00576306" w:rsidP="00576306">
      <w:pPr>
        <w:pStyle w:val="ListParagraph"/>
        <w:ind w:left="1080" w:right="720"/>
        <w:jc w:val="both"/>
        <w:rPr>
          <w:rFonts w:ascii="Arial" w:hAnsi="Arial" w:cs="Arial"/>
          <w:sz w:val="24"/>
          <w:szCs w:val="24"/>
        </w:rPr>
      </w:pPr>
      <w:r>
        <w:rPr>
          <w:rFonts w:ascii="Arial" w:hAnsi="Arial" w:cs="Arial"/>
          <w:sz w:val="24"/>
          <w:szCs w:val="24"/>
        </w:rPr>
        <w:t xml:space="preserve">      </w:t>
      </w:r>
      <w:r>
        <w:rPr>
          <w:rFonts w:ascii="Arial" w:hAnsi="Arial" w:cs="Arial"/>
          <w:sz w:val="24"/>
          <w:szCs w:val="24"/>
          <w:u w:val="single"/>
        </w:rPr>
        <w:t>Period or Average Period of Usefulness</w:t>
      </w:r>
      <w:r>
        <w:rPr>
          <w:rFonts w:ascii="Arial" w:hAnsi="Arial" w:cs="Arial"/>
          <w:sz w:val="24"/>
          <w:szCs w:val="24"/>
        </w:rPr>
        <w:t>:                        5 years</w:t>
      </w:r>
    </w:p>
    <w:p w14:paraId="6012744E" w14:textId="77777777" w:rsidR="00576306" w:rsidRDefault="00576306" w:rsidP="00576306">
      <w:pPr>
        <w:pStyle w:val="ListParagraph"/>
        <w:ind w:left="1440" w:right="720"/>
        <w:jc w:val="both"/>
        <w:rPr>
          <w:rFonts w:ascii="Arial" w:hAnsi="Arial" w:cs="Arial"/>
          <w:sz w:val="24"/>
          <w:szCs w:val="24"/>
        </w:rPr>
      </w:pPr>
    </w:p>
    <w:p w14:paraId="3F04C268" w14:textId="77777777" w:rsidR="00576306" w:rsidRDefault="00576306" w:rsidP="00576306">
      <w:pPr>
        <w:ind w:left="1440" w:right="720" w:hanging="720"/>
        <w:jc w:val="both"/>
        <w:rPr>
          <w:rFonts w:ascii="Arial" w:hAnsi="Arial" w:cs="Arial"/>
        </w:rPr>
      </w:pPr>
      <w:r>
        <w:rPr>
          <w:rFonts w:ascii="Arial" w:hAnsi="Arial" w:cs="Arial"/>
        </w:rPr>
        <w:t xml:space="preserve">(b)       </w:t>
      </w:r>
      <w:r>
        <w:rPr>
          <w:rFonts w:ascii="Arial" w:hAnsi="Arial" w:cs="Arial"/>
          <w:u w:val="single"/>
        </w:rPr>
        <w:t>Purpose</w:t>
      </w:r>
      <w:r>
        <w:rPr>
          <w:rFonts w:ascii="Arial" w:hAnsi="Arial" w:cs="Arial"/>
        </w:rPr>
        <w:t>: Improvements to Community Center, including, without limitation, lavatory stalls, commodes, sinks, acoustic panels and ceiling tiles, kitchen equipment including refrigerators, freezers, grills, stove, oven, deep fryers, cabinets and HVAC replacements,</w:t>
      </w:r>
      <w:r>
        <w:rPr>
          <w:rFonts w:ascii="Arial" w:hAnsi="Arial" w:cs="Arial"/>
          <w:color w:val="000000"/>
        </w:rPr>
        <w:t xml:space="preserve"> and including all work and materials necessary therefore or incidental thereto</w:t>
      </w:r>
      <w:r>
        <w:rPr>
          <w:rFonts w:ascii="Arial" w:hAnsi="Arial" w:cs="Arial"/>
        </w:rPr>
        <w:t>.</w:t>
      </w:r>
    </w:p>
    <w:p w14:paraId="34A2E31A" w14:textId="77777777" w:rsidR="00576306" w:rsidRDefault="00576306" w:rsidP="00576306">
      <w:pPr>
        <w:ind w:left="1440" w:right="720" w:hanging="720"/>
        <w:jc w:val="both"/>
        <w:rPr>
          <w:rFonts w:ascii="Arial" w:hAnsi="Arial" w:cs="Arial"/>
        </w:rPr>
      </w:pPr>
    </w:p>
    <w:p w14:paraId="67EF35AF" w14:textId="77777777" w:rsidR="00576306" w:rsidRDefault="00576306" w:rsidP="00576306">
      <w:pPr>
        <w:ind w:left="1440" w:right="720" w:hanging="720"/>
        <w:jc w:val="both"/>
        <w:rPr>
          <w:rFonts w:ascii="Arial" w:hAnsi="Arial" w:cs="Arial"/>
        </w:rPr>
      </w:pPr>
      <w:r>
        <w:rPr>
          <w:rFonts w:ascii="Arial" w:hAnsi="Arial" w:cs="Arial"/>
        </w:rPr>
        <w:t xml:space="preserve">            </w:t>
      </w:r>
      <w:r>
        <w:rPr>
          <w:rFonts w:ascii="Arial" w:hAnsi="Arial" w:cs="Arial"/>
          <w:u w:val="single"/>
        </w:rPr>
        <w:t>Appropriation and Estimated Cost</w:t>
      </w:r>
      <w:r>
        <w:rPr>
          <w:rFonts w:ascii="Arial" w:hAnsi="Arial" w:cs="Arial"/>
        </w:rPr>
        <w:t>:                                               $350,000</w:t>
      </w:r>
    </w:p>
    <w:p w14:paraId="5EEB6139" w14:textId="77777777" w:rsidR="00576306" w:rsidRDefault="00576306" w:rsidP="00576306">
      <w:pPr>
        <w:ind w:left="1440" w:right="720" w:hanging="720"/>
        <w:jc w:val="both"/>
        <w:rPr>
          <w:rFonts w:ascii="Arial" w:hAnsi="Arial" w:cs="Arial"/>
        </w:rPr>
      </w:pPr>
      <w:r>
        <w:rPr>
          <w:rFonts w:ascii="Arial" w:hAnsi="Arial" w:cs="Arial"/>
        </w:rPr>
        <w:t xml:space="preserve">            </w:t>
      </w:r>
      <w:r>
        <w:rPr>
          <w:rFonts w:ascii="Arial" w:hAnsi="Arial" w:cs="Arial"/>
          <w:u w:val="single"/>
        </w:rPr>
        <w:t>Amount of Down Payment</w:t>
      </w:r>
      <w:r>
        <w:rPr>
          <w:rFonts w:ascii="Arial" w:hAnsi="Arial" w:cs="Arial"/>
        </w:rPr>
        <w:t>:                                                $17,500</w:t>
      </w:r>
    </w:p>
    <w:p w14:paraId="06FDC212" w14:textId="77777777" w:rsidR="00576306" w:rsidRDefault="00576306" w:rsidP="00576306">
      <w:pPr>
        <w:ind w:left="1440" w:right="720" w:hanging="720"/>
        <w:jc w:val="both"/>
        <w:rPr>
          <w:rFonts w:ascii="Arial" w:hAnsi="Arial" w:cs="Arial"/>
        </w:rPr>
      </w:pPr>
      <w:r>
        <w:rPr>
          <w:rFonts w:ascii="Arial" w:hAnsi="Arial" w:cs="Arial"/>
        </w:rPr>
        <w:t xml:space="preserve">            </w:t>
      </w:r>
      <w:r>
        <w:rPr>
          <w:rFonts w:ascii="Arial" w:hAnsi="Arial" w:cs="Arial"/>
          <w:u w:val="single"/>
        </w:rPr>
        <w:t>Estimated Maximum amount of Bonds or Notes</w:t>
      </w:r>
      <w:r>
        <w:rPr>
          <w:rFonts w:ascii="Arial" w:hAnsi="Arial" w:cs="Arial"/>
        </w:rPr>
        <w:t>:                       $332,500</w:t>
      </w:r>
    </w:p>
    <w:p w14:paraId="500AD167" w14:textId="77777777" w:rsidR="00576306" w:rsidRDefault="00576306" w:rsidP="00576306">
      <w:pPr>
        <w:ind w:left="1440" w:right="720" w:hanging="720"/>
        <w:jc w:val="both"/>
        <w:rPr>
          <w:rFonts w:ascii="Arial" w:hAnsi="Arial" w:cs="Arial"/>
        </w:rPr>
      </w:pPr>
      <w:r>
        <w:rPr>
          <w:rFonts w:ascii="Arial" w:hAnsi="Arial" w:cs="Arial"/>
        </w:rPr>
        <w:t xml:space="preserve">            </w:t>
      </w:r>
      <w:r>
        <w:rPr>
          <w:rFonts w:ascii="Arial" w:hAnsi="Arial" w:cs="Arial"/>
          <w:u w:val="single"/>
        </w:rPr>
        <w:t>Period or Average Period of Usefulness</w:t>
      </w:r>
      <w:r>
        <w:rPr>
          <w:rFonts w:ascii="Arial" w:hAnsi="Arial" w:cs="Arial"/>
        </w:rPr>
        <w:t>:                        15 years</w:t>
      </w:r>
    </w:p>
    <w:p w14:paraId="4A104458" w14:textId="77777777" w:rsidR="00576306" w:rsidRDefault="00576306" w:rsidP="00576306">
      <w:pPr>
        <w:ind w:left="1530" w:right="720"/>
        <w:jc w:val="both"/>
        <w:rPr>
          <w:rFonts w:ascii="Arial" w:hAnsi="Arial" w:cs="Arial"/>
        </w:rPr>
      </w:pPr>
    </w:p>
    <w:p w14:paraId="6D1ABB55" w14:textId="77777777" w:rsidR="00576306" w:rsidRDefault="00576306" w:rsidP="00576306">
      <w:pPr>
        <w:pStyle w:val="ListParagraph"/>
        <w:ind w:left="1440" w:right="720" w:hanging="720"/>
        <w:jc w:val="both"/>
        <w:rPr>
          <w:rFonts w:ascii="Arial" w:hAnsi="Arial" w:cs="Arial"/>
          <w:sz w:val="24"/>
          <w:szCs w:val="24"/>
        </w:rPr>
      </w:pPr>
      <w:r>
        <w:rPr>
          <w:rFonts w:ascii="Arial" w:hAnsi="Arial" w:cs="Arial"/>
        </w:rPr>
        <w:t>(</w:t>
      </w:r>
      <w:r>
        <w:rPr>
          <w:rFonts w:ascii="Arial" w:hAnsi="Arial" w:cs="Arial"/>
          <w:sz w:val="24"/>
          <w:szCs w:val="24"/>
        </w:rPr>
        <w:t xml:space="preserve">c)        </w:t>
      </w:r>
      <w:r>
        <w:rPr>
          <w:rFonts w:ascii="Arial" w:hAnsi="Arial" w:cs="Arial"/>
          <w:sz w:val="24"/>
          <w:szCs w:val="24"/>
          <w:u w:val="single"/>
        </w:rPr>
        <w:t>Purpose</w:t>
      </w:r>
      <w:r>
        <w:rPr>
          <w:rFonts w:ascii="Arial" w:hAnsi="Arial" w:cs="Arial"/>
          <w:sz w:val="24"/>
          <w:szCs w:val="24"/>
        </w:rPr>
        <w:t>: Improvements to Firehouse Building, including, without limitation, garage floors, garage doors and windows, and including all work and materials necessary therefore or incidental thereto.</w:t>
      </w:r>
    </w:p>
    <w:p w14:paraId="3591A424" w14:textId="77777777" w:rsidR="00576306" w:rsidRDefault="00576306" w:rsidP="00576306">
      <w:pPr>
        <w:pStyle w:val="ListParagraph"/>
        <w:ind w:left="1440" w:right="720"/>
        <w:jc w:val="both"/>
        <w:rPr>
          <w:rFonts w:ascii="Arial" w:hAnsi="Arial" w:cs="Arial"/>
          <w:sz w:val="24"/>
          <w:szCs w:val="24"/>
        </w:rPr>
      </w:pPr>
    </w:p>
    <w:p w14:paraId="2F52C116" w14:textId="77777777" w:rsidR="00576306" w:rsidRDefault="00576306" w:rsidP="00576306">
      <w:pPr>
        <w:ind w:left="1440" w:right="720" w:hanging="720"/>
        <w:jc w:val="both"/>
        <w:rPr>
          <w:rFonts w:ascii="Arial" w:hAnsi="Arial" w:cs="Arial"/>
        </w:rPr>
      </w:pPr>
      <w:r>
        <w:rPr>
          <w:rFonts w:ascii="Arial" w:hAnsi="Arial" w:cs="Arial"/>
        </w:rPr>
        <w:t xml:space="preserve">            </w:t>
      </w:r>
      <w:r>
        <w:rPr>
          <w:rFonts w:ascii="Arial" w:hAnsi="Arial" w:cs="Arial"/>
          <w:u w:val="single"/>
        </w:rPr>
        <w:t>Appropriation and Estimated Cost</w:t>
      </w:r>
      <w:r>
        <w:rPr>
          <w:rFonts w:ascii="Arial" w:hAnsi="Arial" w:cs="Arial"/>
        </w:rPr>
        <w:t>:                                               $150,000</w:t>
      </w:r>
    </w:p>
    <w:p w14:paraId="14C631D3" w14:textId="77777777" w:rsidR="00576306" w:rsidRDefault="00576306" w:rsidP="00576306">
      <w:pPr>
        <w:ind w:left="1440" w:right="720" w:hanging="720"/>
        <w:jc w:val="both"/>
        <w:rPr>
          <w:rFonts w:ascii="Arial" w:hAnsi="Arial" w:cs="Arial"/>
        </w:rPr>
      </w:pPr>
      <w:r>
        <w:rPr>
          <w:rFonts w:ascii="Arial" w:hAnsi="Arial" w:cs="Arial"/>
        </w:rPr>
        <w:t xml:space="preserve">            </w:t>
      </w:r>
      <w:r>
        <w:rPr>
          <w:rFonts w:ascii="Arial" w:hAnsi="Arial" w:cs="Arial"/>
          <w:u w:val="single"/>
        </w:rPr>
        <w:t>Amount of Down Payment</w:t>
      </w:r>
      <w:r>
        <w:rPr>
          <w:rFonts w:ascii="Arial" w:hAnsi="Arial" w:cs="Arial"/>
        </w:rPr>
        <w:t>:                                                $7,500</w:t>
      </w:r>
    </w:p>
    <w:p w14:paraId="12723469" w14:textId="77777777" w:rsidR="00576306" w:rsidRDefault="00576306" w:rsidP="00576306">
      <w:pPr>
        <w:ind w:left="1440" w:right="720" w:hanging="720"/>
        <w:jc w:val="both"/>
        <w:rPr>
          <w:rFonts w:ascii="Arial" w:hAnsi="Arial" w:cs="Arial"/>
        </w:rPr>
      </w:pPr>
      <w:r>
        <w:rPr>
          <w:rFonts w:ascii="Arial" w:hAnsi="Arial" w:cs="Arial"/>
        </w:rPr>
        <w:t xml:space="preserve">            </w:t>
      </w:r>
      <w:r>
        <w:rPr>
          <w:rFonts w:ascii="Arial" w:hAnsi="Arial" w:cs="Arial"/>
          <w:u w:val="single"/>
        </w:rPr>
        <w:t>Estimated Maximum amount of Bonds or Notes</w:t>
      </w:r>
      <w:r>
        <w:rPr>
          <w:rFonts w:ascii="Arial" w:hAnsi="Arial" w:cs="Arial"/>
        </w:rPr>
        <w:t>:                       $142,500</w:t>
      </w:r>
    </w:p>
    <w:p w14:paraId="425161EF" w14:textId="77777777" w:rsidR="00576306" w:rsidRDefault="00576306" w:rsidP="00576306">
      <w:pPr>
        <w:ind w:left="1440" w:right="720" w:hanging="720"/>
        <w:jc w:val="both"/>
        <w:rPr>
          <w:rFonts w:ascii="Arial" w:hAnsi="Arial" w:cs="Arial"/>
        </w:rPr>
      </w:pPr>
      <w:r>
        <w:rPr>
          <w:rFonts w:ascii="Arial" w:hAnsi="Arial" w:cs="Arial"/>
        </w:rPr>
        <w:t xml:space="preserve">            </w:t>
      </w:r>
      <w:r>
        <w:rPr>
          <w:rFonts w:ascii="Arial" w:hAnsi="Arial" w:cs="Arial"/>
          <w:u w:val="single"/>
        </w:rPr>
        <w:t>Period or Average Period of Usefulness</w:t>
      </w:r>
      <w:r>
        <w:rPr>
          <w:rFonts w:ascii="Arial" w:hAnsi="Arial" w:cs="Arial"/>
        </w:rPr>
        <w:t>:                        15 years</w:t>
      </w:r>
    </w:p>
    <w:p w14:paraId="4726D3BB" w14:textId="77777777" w:rsidR="00576306" w:rsidRDefault="00576306" w:rsidP="00576306">
      <w:pPr>
        <w:ind w:left="1440" w:right="720" w:hanging="720"/>
        <w:jc w:val="both"/>
        <w:rPr>
          <w:rFonts w:ascii="Arial" w:hAnsi="Arial" w:cs="Arial"/>
        </w:rPr>
      </w:pPr>
    </w:p>
    <w:p w14:paraId="379598D5" w14:textId="77777777" w:rsidR="00576306" w:rsidRDefault="00576306" w:rsidP="00576306">
      <w:pPr>
        <w:numPr>
          <w:ilvl w:val="0"/>
          <w:numId w:val="2"/>
        </w:numPr>
        <w:ind w:left="1350" w:right="720" w:hanging="630"/>
        <w:jc w:val="both"/>
        <w:rPr>
          <w:rFonts w:ascii="Arial" w:hAnsi="Arial" w:cs="Arial"/>
        </w:rPr>
      </w:pPr>
      <w:r>
        <w:rPr>
          <w:rFonts w:ascii="Arial" w:hAnsi="Arial" w:cs="Arial"/>
          <w:u w:val="single"/>
        </w:rPr>
        <w:t>Purpose</w:t>
      </w:r>
      <w:r>
        <w:rPr>
          <w:rFonts w:ascii="Arial" w:hAnsi="Arial" w:cs="Arial"/>
        </w:rPr>
        <w:t>:  Acquisition of vehicles with gross vehicle weight ratings in excess of 15,000 pounds for the Department of Public Works, including, without limitation, boom truck, street sweeper, dump truck and dump hook lift truck, and including all work and materials necessary therefore or incidental thereto.</w:t>
      </w:r>
    </w:p>
    <w:p w14:paraId="0114EC70" w14:textId="77777777" w:rsidR="00576306" w:rsidRDefault="00576306" w:rsidP="00576306">
      <w:pPr>
        <w:ind w:left="1080" w:right="720"/>
        <w:jc w:val="both"/>
        <w:rPr>
          <w:rFonts w:ascii="Arial" w:hAnsi="Arial" w:cs="Arial"/>
        </w:rPr>
      </w:pPr>
    </w:p>
    <w:p w14:paraId="1ABF3BFD" w14:textId="77777777" w:rsidR="00576306" w:rsidRDefault="00576306" w:rsidP="00576306">
      <w:pPr>
        <w:ind w:left="1080" w:right="720"/>
        <w:jc w:val="both"/>
        <w:rPr>
          <w:rFonts w:ascii="Arial" w:hAnsi="Arial" w:cs="Arial"/>
        </w:rPr>
      </w:pPr>
      <w:r>
        <w:rPr>
          <w:rFonts w:ascii="Arial" w:hAnsi="Arial" w:cs="Arial"/>
        </w:rPr>
        <w:t xml:space="preserve">      </w:t>
      </w:r>
      <w:r>
        <w:rPr>
          <w:rFonts w:ascii="Arial" w:hAnsi="Arial" w:cs="Arial"/>
          <w:u w:val="single"/>
        </w:rPr>
        <w:t>Appropriation and Estimated Cost</w:t>
      </w:r>
      <w:r>
        <w:rPr>
          <w:rFonts w:ascii="Arial" w:hAnsi="Arial" w:cs="Arial"/>
        </w:rPr>
        <w:t>:                                               $400,000</w:t>
      </w:r>
    </w:p>
    <w:p w14:paraId="356D0E56" w14:textId="77777777" w:rsidR="00576306" w:rsidRDefault="00576306" w:rsidP="00576306">
      <w:pPr>
        <w:ind w:left="1080" w:right="720"/>
        <w:jc w:val="both"/>
        <w:rPr>
          <w:rFonts w:ascii="Arial" w:hAnsi="Arial" w:cs="Arial"/>
        </w:rPr>
      </w:pPr>
      <w:r>
        <w:rPr>
          <w:rFonts w:ascii="Arial" w:hAnsi="Arial" w:cs="Arial"/>
        </w:rPr>
        <w:t xml:space="preserve">      </w:t>
      </w:r>
      <w:r>
        <w:rPr>
          <w:rFonts w:ascii="Arial" w:hAnsi="Arial" w:cs="Arial"/>
          <w:u w:val="single"/>
        </w:rPr>
        <w:t>Amount of Down Payment</w:t>
      </w:r>
      <w:r>
        <w:rPr>
          <w:rFonts w:ascii="Arial" w:hAnsi="Arial" w:cs="Arial"/>
        </w:rPr>
        <w:t>:                                                $20,000</w:t>
      </w:r>
    </w:p>
    <w:p w14:paraId="33CBCBC7" w14:textId="77777777" w:rsidR="00576306" w:rsidRDefault="00576306" w:rsidP="00576306">
      <w:pPr>
        <w:ind w:left="1080" w:right="720"/>
        <w:jc w:val="both"/>
        <w:rPr>
          <w:rFonts w:ascii="Arial" w:hAnsi="Arial" w:cs="Arial"/>
        </w:rPr>
      </w:pPr>
      <w:r>
        <w:rPr>
          <w:rFonts w:ascii="Arial" w:hAnsi="Arial" w:cs="Arial"/>
        </w:rPr>
        <w:t xml:space="preserve">      </w:t>
      </w:r>
      <w:r>
        <w:rPr>
          <w:rFonts w:ascii="Arial" w:hAnsi="Arial" w:cs="Arial"/>
          <w:u w:val="single"/>
        </w:rPr>
        <w:t>Estimated Maximum amount of Bonds or Notes</w:t>
      </w:r>
      <w:r>
        <w:rPr>
          <w:rFonts w:ascii="Arial" w:hAnsi="Arial" w:cs="Arial"/>
        </w:rPr>
        <w:t>:                       $380,000</w:t>
      </w:r>
    </w:p>
    <w:p w14:paraId="2C555AE0" w14:textId="77777777" w:rsidR="00576306" w:rsidRDefault="00576306" w:rsidP="00576306">
      <w:pPr>
        <w:ind w:left="1080" w:right="720"/>
        <w:jc w:val="both"/>
        <w:rPr>
          <w:rFonts w:ascii="Arial" w:hAnsi="Arial" w:cs="Arial"/>
        </w:rPr>
      </w:pPr>
      <w:r>
        <w:rPr>
          <w:rFonts w:ascii="Arial" w:hAnsi="Arial" w:cs="Arial"/>
        </w:rPr>
        <w:t xml:space="preserve">      </w:t>
      </w:r>
      <w:r>
        <w:rPr>
          <w:rFonts w:ascii="Arial" w:hAnsi="Arial" w:cs="Arial"/>
          <w:u w:val="single"/>
        </w:rPr>
        <w:t>Period or Average Period of Usefulness</w:t>
      </w:r>
      <w:r>
        <w:rPr>
          <w:rFonts w:ascii="Arial" w:hAnsi="Arial" w:cs="Arial"/>
        </w:rPr>
        <w:t>:                        10 years</w:t>
      </w:r>
    </w:p>
    <w:p w14:paraId="618C0516" w14:textId="77777777" w:rsidR="00576306" w:rsidRDefault="00576306" w:rsidP="00576306">
      <w:pPr>
        <w:ind w:left="1440" w:right="720" w:hanging="720"/>
        <w:jc w:val="both"/>
        <w:rPr>
          <w:rFonts w:ascii="Arial" w:hAnsi="Arial" w:cs="Arial"/>
        </w:rPr>
      </w:pPr>
    </w:p>
    <w:p w14:paraId="53AC024B" w14:textId="77777777" w:rsidR="00576306" w:rsidRDefault="00576306" w:rsidP="00576306">
      <w:pPr>
        <w:numPr>
          <w:ilvl w:val="0"/>
          <w:numId w:val="2"/>
        </w:numPr>
        <w:ind w:left="1440" w:right="720" w:hanging="720"/>
        <w:jc w:val="both"/>
        <w:rPr>
          <w:rFonts w:ascii="Arial" w:hAnsi="Arial" w:cs="Arial"/>
        </w:rPr>
      </w:pPr>
      <w:r>
        <w:rPr>
          <w:rFonts w:ascii="Arial" w:hAnsi="Arial" w:cs="Arial"/>
          <w:u w:val="single"/>
        </w:rPr>
        <w:t>Purpose</w:t>
      </w:r>
      <w:r>
        <w:rPr>
          <w:rFonts w:ascii="Arial" w:hAnsi="Arial" w:cs="Arial"/>
        </w:rPr>
        <w:t>: Acquisition of vehicles with gross vehicle weight ratings below 15,000 pounds for the Police Department, including all work and materials necessary therefore or incidental thereto.</w:t>
      </w:r>
    </w:p>
    <w:p w14:paraId="08E0E744" w14:textId="77777777" w:rsidR="00576306" w:rsidRDefault="00576306" w:rsidP="00576306">
      <w:pPr>
        <w:ind w:left="1080" w:right="720"/>
        <w:jc w:val="both"/>
        <w:rPr>
          <w:rFonts w:ascii="Arial" w:hAnsi="Arial" w:cs="Arial"/>
          <w:sz w:val="16"/>
          <w:szCs w:val="16"/>
        </w:rPr>
      </w:pPr>
    </w:p>
    <w:p w14:paraId="3714E462" w14:textId="77777777" w:rsidR="00576306" w:rsidRDefault="00576306" w:rsidP="00576306">
      <w:pPr>
        <w:ind w:left="1080" w:right="720"/>
        <w:jc w:val="both"/>
        <w:rPr>
          <w:rFonts w:ascii="Arial" w:hAnsi="Arial" w:cs="Arial"/>
        </w:rPr>
      </w:pPr>
      <w:r>
        <w:rPr>
          <w:rFonts w:ascii="Arial" w:hAnsi="Arial" w:cs="Arial"/>
        </w:rPr>
        <w:t xml:space="preserve">      </w:t>
      </w:r>
      <w:r>
        <w:rPr>
          <w:rFonts w:ascii="Arial" w:hAnsi="Arial" w:cs="Arial"/>
          <w:u w:val="single"/>
        </w:rPr>
        <w:t>Appropriation and Estimated Cost</w:t>
      </w:r>
      <w:r>
        <w:rPr>
          <w:rFonts w:ascii="Arial" w:hAnsi="Arial" w:cs="Arial"/>
        </w:rPr>
        <w:t>:                                               $200,000</w:t>
      </w:r>
    </w:p>
    <w:p w14:paraId="378A64C9" w14:textId="77777777" w:rsidR="00576306" w:rsidRDefault="00576306" w:rsidP="00576306">
      <w:pPr>
        <w:ind w:left="1080" w:right="720"/>
        <w:jc w:val="both"/>
        <w:rPr>
          <w:rFonts w:ascii="Arial" w:hAnsi="Arial" w:cs="Arial"/>
        </w:rPr>
      </w:pPr>
      <w:r>
        <w:rPr>
          <w:rFonts w:ascii="Arial" w:hAnsi="Arial" w:cs="Arial"/>
        </w:rPr>
        <w:t xml:space="preserve">      </w:t>
      </w:r>
      <w:r>
        <w:rPr>
          <w:rFonts w:ascii="Arial" w:hAnsi="Arial" w:cs="Arial"/>
          <w:u w:val="single"/>
        </w:rPr>
        <w:t>Amount of Down Payment</w:t>
      </w:r>
      <w:r>
        <w:rPr>
          <w:rFonts w:ascii="Arial" w:hAnsi="Arial" w:cs="Arial"/>
        </w:rPr>
        <w:t>:                                                $10,000</w:t>
      </w:r>
    </w:p>
    <w:p w14:paraId="53493D0C" w14:textId="77777777" w:rsidR="00576306" w:rsidRDefault="00576306" w:rsidP="00576306">
      <w:pPr>
        <w:ind w:left="1080" w:right="720"/>
        <w:jc w:val="both"/>
        <w:rPr>
          <w:rFonts w:ascii="Arial" w:hAnsi="Arial" w:cs="Arial"/>
        </w:rPr>
      </w:pPr>
      <w:r>
        <w:rPr>
          <w:rFonts w:ascii="Arial" w:hAnsi="Arial" w:cs="Arial"/>
        </w:rPr>
        <w:t xml:space="preserve">      </w:t>
      </w:r>
      <w:r>
        <w:rPr>
          <w:rFonts w:ascii="Arial" w:hAnsi="Arial" w:cs="Arial"/>
          <w:u w:val="single"/>
        </w:rPr>
        <w:t>Estimated Maximum amount of Bonds or Notes</w:t>
      </w:r>
      <w:r>
        <w:rPr>
          <w:rFonts w:ascii="Arial" w:hAnsi="Arial" w:cs="Arial"/>
        </w:rPr>
        <w:t>:                       $190,000</w:t>
      </w:r>
    </w:p>
    <w:p w14:paraId="3BB7E0E2" w14:textId="77777777" w:rsidR="00576306" w:rsidRDefault="00576306" w:rsidP="00576306">
      <w:pPr>
        <w:ind w:left="1080" w:right="720"/>
        <w:jc w:val="both"/>
        <w:rPr>
          <w:rFonts w:ascii="Arial" w:hAnsi="Arial" w:cs="Arial"/>
        </w:rPr>
      </w:pPr>
      <w:r>
        <w:rPr>
          <w:rFonts w:ascii="Arial" w:hAnsi="Arial" w:cs="Arial"/>
        </w:rPr>
        <w:t xml:space="preserve">      </w:t>
      </w:r>
      <w:r>
        <w:rPr>
          <w:rFonts w:ascii="Arial" w:hAnsi="Arial" w:cs="Arial"/>
          <w:u w:val="single"/>
        </w:rPr>
        <w:t>Period or Average Period of Usefulness</w:t>
      </w:r>
      <w:r>
        <w:rPr>
          <w:rFonts w:ascii="Arial" w:hAnsi="Arial" w:cs="Arial"/>
        </w:rPr>
        <w:t xml:space="preserve">:                        5 years </w:t>
      </w:r>
    </w:p>
    <w:p w14:paraId="183B0AAE" w14:textId="77777777" w:rsidR="00576306" w:rsidRDefault="00576306" w:rsidP="00576306">
      <w:pPr>
        <w:ind w:left="1080" w:right="720"/>
        <w:jc w:val="both"/>
        <w:rPr>
          <w:rFonts w:ascii="Arial" w:hAnsi="Arial" w:cs="Arial"/>
        </w:rPr>
      </w:pPr>
    </w:p>
    <w:p w14:paraId="2C15811D" w14:textId="77777777" w:rsidR="00576306" w:rsidRDefault="00576306" w:rsidP="00576306">
      <w:pPr>
        <w:numPr>
          <w:ilvl w:val="0"/>
          <w:numId w:val="2"/>
        </w:numPr>
        <w:spacing w:line="480" w:lineRule="auto"/>
        <w:ind w:left="90" w:firstLine="630"/>
        <w:jc w:val="both"/>
        <w:rPr>
          <w:rFonts w:ascii="Arial" w:hAnsi="Arial" w:cs="Arial"/>
        </w:rPr>
      </w:pPr>
      <w:r>
        <w:rPr>
          <w:rFonts w:ascii="Arial" w:hAnsi="Arial" w:cs="Arial"/>
        </w:rPr>
        <w:t>The estimated maximum amount of bonds or notes to be issued for the improvement or purpose is as stated in Section 2 hereof.</w:t>
      </w:r>
    </w:p>
    <w:p w14:paraId="50070F73" w14:textId="77777777" w:rsidR="00576306" w:rsidRDefault="00576306" w:rsidP="00576306">
      <w:pPr>
        <w:ind w:left="1080" w:right="720"/>
        <w:jc w:val="both"/>
        <w:rPr>
          <w:rFonts w:ascii="Arial" w:hAnsi="Arial" w:cs="Arial"/>
        </w:rPr>
      </w:pPr>
    </w:p>
    <w:p w14:paraId="39E8876B" w14:textId="77777777" w:rsidR="00576306" w:rsidRDefault="00576306" w:rsidP="00576306">
      <w:pPr>
        <w:spacing w:line="480" w:lineRule="auto"/>
        <w:ind w:firstLine="720"/>
        <w:jc w:val="both"/>
        <w:rPr>
          <w:rFonts w:ascii="Arial" w:hAnsi="Arial" w:cs="Arial"/>
        </w:rPr>
      </w:pPr>
      <w:r>
        <w:rPr>
          <w:rFonts w:ascii="Arial" w:hAnsi="Arial" w:cs="Arial"/>
        </w:rPr>
        <w:t>(e)       The estimated cost of the improvements or purposes is equal to the amount of the appropriation herein made therefor.</w:t>
      </w:r>
    </w:p>
    <w:p w14:paraId="289FE924" w14:textId="77777777" w:rsidR="00576306" w:rsidRDefault="00576306" w:rsidP="00576306">
      <w:pPr>
        <w:spacing w:line="480" w:lineRule="auto"/>
        <w:ind w:firstLine="720"/>
        <w:jc w:val="both"/>
        <w:rPr>
          <w:rFonts w:ascii="Arial" w:hAnsi="Arial" w:cs="Arial"/>
        </w:rPr>
      </w:pPr>
      <w:r>
        <w:rPr>
          <w:rFonts w:ascii="Arial" w:hAnsi="Arial" w:cs="Arial"/>
          <w:u w:val="single"/>
        </w:rPr>
        <w:t>Section 4</w:t>
      </w:r>
      <w:r>
        <w:rPr>
          <w:rFonts w:ascii="Arial" w:hAnsi="Arial" w:cs="Arial"/>
        </w:rPr>
        <w:t xml:space="preserve">.  All bond anticipation notes issued hereunder shall mature at such times as may be determined by the chief financial officer; provided that no note shall mature later than one year from its date.  The notes shall bear interest at such rate or rates and </w:t>
      </w:r>
      <w:r>
        <w:rPr>
          <w:rFonts w:ascii="Arial" w:hAnsi="Arial" w:cs="Arial"/>
        </w:rPr>
        <w:lastRenderedPageBreak/>
        <w:t>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19BFD8AE" w14:textId="77777777" w:rsidR="00576306" w:rsidRDefault="00576306" w:rsidP="00576306">
      <w:pPr>
        <w:spacing w:line="480" w:lineRule="auto"/>
        <w:ind w:firstLine="720"/>
        <w:jc w:val="both"/>
        <w:rPr>
          <w:rFonts w:ascii="Arial" w:hAnsi="Arial" w:cs="Arial"/>
        </w:rPr>
      </w:pPr>
      <w:r>
        <w:rPr>
          <w:rFonts w:ascii="Arial" w:hAnsi="Arial" w:cs="Arial"/>
          <w:u w:val="single"/>
        </w:rPr>
        <w:t>Section 5</w:t>
      </w:r>
      <w:r>
        <w:rPr>
          <w:rFonts w:ascii="Arial" w:hAnsi="Arial" w:cs="Arial"/>
        </w:rPr>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6FE85370" w14:textId="77777777" w:rsidR="00576306" w:rsidRDefault="00576306" w:rsidP="00576306">
      <w:pPr>
        <w:spacing w:line="480" w:lineRule="auto"/>
        <w:ind w:firstLine="720"/>
        <w:jc w:val="both"/>
        <w:rPr>
          <w:rFonts w:ascii="Arial" w:hAnsi="Arial" w:cs="Arial"/>
        </w:rPr>
      </w:pPr>
      <w:r>
        <w:rPr>
          <w:rFonts w:ascii="Arial" w:hAnsi="Arial" w:cs="Arial"/>
          <w:u w:val="single"/>
        </w:rPr>
        <w:t>Section 6</w:t>
      </w:r>
      <w:r>
        <w:rPr>
          <w:rFonts w:ascii="Arial" w:hAnsi="Arial" w:cs="Arial"/>
        </w:rPr>
        <w:t>.  The following additional matters are hereby determined, declared, recited and stated:</w:t>
      </w:r>
    </w:p>
    <w:p w14:paraId="3ED5F3C9" w14:textId="77777777" w:rsidR="00576306" w:rsidRDefault="00576306" w:rsidP="00576306">
      <w:pPr>
        <w:spacing w:line="480" w:lineRule="auto"/>
        <w:ind w:firstLine="1440"/>
        <w:jc w:val="both"/>
        <w:rPr>
          <w:rFonts w:ascii="Arial" w:hAnsi="Arial" w:cs="Arial"/>
        </w:rPr>
      </w:pPr>
      <w:r>
        <w:rPr>
          <w:rFonts w:ascii="Arial" w:hAnsi="Arial" w:cs="Arial"/>
        </w:rPr>
        <w:t>(a)       The improvements or purposes described in Section 3 of this bond ordinance are not a current expense.  No part of the costs thereof has been or shall be specially assessed on property specially benefited thereby.</w:t>
      </w:r>
    </w:p>
    <w:p w14:paraId="30F648DA" w14:textId="77777777" w:rsidR="00576306" w:rsidRDefault="00576306" w:rsidP="00576306">
      <w:pPr>
        <w:spacing w:line="480" w:lineRule="auto"/>
        <w:ind w:firstLine="1440"/>
        <w:jc w:val="both"/>
        <w:rPr>
          <w:rFonts w:ascii="Arial" w:hAnsi="Arial" w:cs="Arial"/>
        </w:rPr>
      </w:pPr>
      <w:r>
        <w:rPr>
          <w:rFonts w:ascii="Arial" w:hAnsi="Arial" w:cs="Arial"/>
        </w:rPr>
        <w:t>(b)       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8.889 years.</w:t>
      </w:r>
    </w:p>
    <w:p w14:paraId="73559D12" w14:textId="77777777" w:rsidR="00576306" w:rsidRDefault="00576306" w:rsidP="00576306">
      <w:pPr>
        <w:spacing w:line="480" w:lineRule="auto"/>
        <w:ind w:firstLine="1440"/>
        <w:jc w:val="both"/>
        <w:rPr>
          <w:rFonts w:ascii="Arial" w:hAnsi="Arial" w:cs="Arial"/>
        </w:rPr>
      </w:pPr>
      <w:r>
        <w:rPr>
          <w:rFonts w:ascii="Arial" w:hAnsi="Arial" w:cs="Arial"/>
        </w:rPr>
        <w:t xml:space="preserve">(c)        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w:t>
      </w:r>
      <w:r>
        <w:rPr>
          <w:rFonts w:ascii="Arial" w:hAnsi="Arial" w:cs="Arial"/>
        </w:rPr>
        <w:lastRenderedPageBreak/>
        <w:t>Jersey.  Such statement shows that the gross debt of the Borough as defined in the Local Bond Law is increased by the authorization of the bonds and notes provided in this bond ordinance by $1,710,000, and the obligations authorized herein will be within all debt limitations prescribed by that Law.</w:t>
      </w:r>
    </w:p>
    <w:p w14:paraId="3677BF7D" w14:textId="77777777" w:rsidR="00576306" w:rsidRDefault="00576306" w:rsidP="00576306">
      <w:pPr>
        <w:spacing w:line="480" w:lineRule="auto"/>
        <w:ind w:firstLine="1440"/>
        <w:jc w:val="both"/>
        <w:rPr>
          <w:rFonts w:ascii="Arial" w:hAnsi="Arial" w:cs="Arial"/>
        </w:rPr>
      </w:pPr>
      <w:r>
        <w:rPr>
          <w:rFonts w:ascii="Arial" w:hAnsi="Arial" w:cs="Arial"/>
        </w:rPr>
        <w:t>(d)       An amount not exceeding $40,000 for items of expense listed in and permitted under N.J.S.A. 40A:2-20 is included in the estimated cost indicated herein for the improvements or purposes.</w:t>
      </w:r>
    </w:p>
    <w:p w14:paraId="2AF9F34E" w14:textId="77777777" w:rsidR="00576306" w:rsidRDefault="00576306" w:rsidP="00576306">
      <w:pPr>
        <w:spacing w:line="480" w:lineRule="auto"/>
        <w:ind w:firstLine="720"/>
        <w:jc w:val="both"/>
        <w:rPr>
          <w:rFonts w:ascii="Arial" w:hAnsi="Arial" w:cs="Arial"/>
        </w:rPr>
      </w:pPr>
      <w:r>
        <w:rPr>
          <w:rFonts w:ascii="Arial" w:hAnsi="Arial" w:cs="Arial"/>
          <w:u w:val="single"/>
        </w:rPr>
        <w:t>Section 7</w:t>
      </w:r>
      <w:r>
        <w:rPr>
          <w:rFonts w:ascii="Arial" w:hAnsi="Arial" w:cs="Arial"/>
        </w:rPr>
        <w:t xml:space="preserve">.  Any grant moneys received for the purposes described in Section 3 hereof shall be applied either to direct payment of the cost of the improvements or to payment of the obligations issued pursuant to this bond ordinance.  The </w:t>
      </w:r>
      <w:proofErr w:type="gramStart"/>
      <w:r>
        <w:rPr>
          <w:rFonts w:ascii="Arial" w:hAnsi="Arial" w:cs="Arial"/>
        </w:rPr>
        <w:t>amount</w:t>
      </w:r>
      <w:proofErr w:type="gramEnd"/>
      <w:r>
        <w:rPr>
          <w:rFonts w:ascii="Arial" w:hAnsi="Arial" w:cs="Arial"/>
        </w:rPr>
        <w:t xml:space="preserve"> of obligations authorized but not issued hereunder shall be reduced to the extent that such funds are applied to the payment of obligations issued pursuant to this bond ordinance.  The </w:t>
      </w:r>
      <w:proofErr w:type="gramStart"/>
      <w:r>
        <w:rPr>
          <w:rFonts w:ascii="Arial" w:hAnsi="Arial" w:cs="Arial"/>
        </w:rPr>
        <w:t>amount</w:t>
      </w:r>
      <w:proofErr w:type="gramEnd"/>
      <w:r>
        <w:rPr>
          <w:rFonts w:ascii="Arial" w:hAnsi="Arial" w:cs="Arial"/>
        </w:rPr>
        <w:t xml:space="preserve"> of obligations authorized but not issued hereunder shall be reduced to the extent that such funds are applied to the payment of obligations issued pursuant to this bond ordinance.</w:t>
      </w:r>
    </w:p>
    <w:p w14:paraId="51F7C975" w14:textId="77777777" w:rsidR="00576306" w:rsidRDefault="00576306" w:rsidP="00576306">
      <w:pPr>
        <w:spacing w:line="480" w:lineRule="auto"/>
        <w:ind w:firstLine="720"/>
        <w:jc w:val="both"/>
        <w:rPr>
          <w:rFonts w:ascii="Arial" w:hAnsi="Arial" w:cs="Arial"/>
        </w:rPr>
      </w:pPr>
      <w:r>
        <w:rPr>
          <w:rFonts w:ascii="Arial" w:hAnsi="Arial" w:cs="Arial"/>
          <w:u w:val="single"/>
        </w:rPr>
        <w:t>Section 8</w:t>
      </w:r>
      <w:r>
        <w:rPr>
          <w:rFonts w:ascii="Arial" w:hAnsi="Arial" w:cs="Arial"/>
        </w:rPr>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14:paraId="29F86A57" w14:textId="77777777" w:rsidR="00576306" w:rsidRDefault="00576306" w:rsidP="00576306">
      <w:pPr>
        <w:spacing w:line="480" w:lineRule="auto"/>
        <w:ind w:firstLine="720"/>
        <w:jc w:val="both"/>
        <w:rPr>
          <w:rFonts w:ascii="Arial" w:hAnsi="Arial" w:cs="Arial"/>
        </w:rPr>
      </w:pPr>
      <w:r>
        <w:rPr>
          <w:rFonts w:ascii="Arial" w:hAnsi="Arial" w:cs="Arial"/>
          <w:u w:val="single"/>
        </w:rPr>
        <w:t>Section 9</w:t>
      </w:r>
      <w:r>
        <w:rPr>
          <w:rFonts w:ascii="Arial" w:hAnsi="Arial" w:cs="Arial"/>
        </w:rPr>
        <w:t xml:space="preserve">.  </w:t>
      </w:r>
      <w:r>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w:t>
      </w:r>
      <w:r>
        <w:rPr>
          <w:rFonts w:ascii="Arial" w:hAnsi="Arial" w:cs="Arial"/>
          <w:color w:val="000000"/>
        </w:rPr>
        <w:lastRenderedPageBreak/>
        <w:t>undertaking, the Borough shall not be liable for any monetary damages, and the remedy shall be limited to specific performance of the undertaking.</w:t>
      </w:r>
    </w:p>
    <w:p w14:paraId="3A146778" w14:textId="77777777" w:rsidR="00576306" w:rsidRDefault="00576306" w:rsidP="00576306">
      <w:pPr>
        <w:spacing w:line="480" w:lineRule="auto"/>
        <w:ind w:firstLine="720"/>
        <w:jc w:val="both"/>
        <w:rPr>
          <w:rFonts w:ascii="Arial" w:hAnsi="Arial" w:cs="Arial"/>
        </w:rPr>
      </w:pPr>
      <w:r>
        <w:rPr>
          <w:rFonts w:ascii="Arial" w:hAnsi="Arial" w:cs="Arial"/>
          <w:u w:val="single"/>
        </w:rPr>
        <w:t>Section 10</w:t>
      </w:r>
      <w:r>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3BD23498" w14:textId="77777777" w:rsidR="00576306" w:rsidRDefault="00576306" w:rsidP="00576306">
      <w:pPr>
        <w:spacing w:line="480" w:lineRule="auto"/>
        <w:ind w:firstLine="720"/>
        <w:jc w:val="both"/>
        <w:rPr>
          <w:rFonts w:ascii="Arial" w:hAnsi="Arial" w:cs="Arial"/>
        </w:rPr>
      </w:pPr>
      <w:r>
        <w:rPr>
          <w:rFonts w:ascii="Arial" w:hAnsi="Arial" w:cs="Arial"/>
          <w:u w:val="single"/>
        </w:rPr>
        <w:t>Section 11</w:t>
      </w:r>
      <w:r>
        <w:rPr>
          <w:rFonts w:ascii="Arial" w:hAnsi="Arial" w:cs="Arial"/>
        </w:rPr>
        <w:t>.  This bond ordinance shall take effect 20 days after the first publication thereof after final adoption, as provided by the Local Bond Law.</w:t>
      </w:r>
    </w:p>
    <w:p w14:paraId="5CF146A3" w14:textId="5121B933" w:rsidR="00576306" w:rsidRPr="00781DA5" w:rsidRDefault="00B1459C" w:rsidP="00576306">
      <w:pPr>
        <w:spacing w:line="480" w:lineRule="auto"/>
        <w:jc w:val="both"/>
        <w:rPr>
          <w:rFonts w:ascii="Arial" w:hAnsi="Arial" w:cs="Arial"/>
          <w:u w:val="single"/>
        </w:rPr>
      </w:pPr>
      <w:r>
        <w:rPr>
          <w:rFonts w:ascii="Arial" w:hAnsi="Arial" w:cs="Arial"/>
        </w:rPr>
        <w:t>Introduced:  __</w:t>
      </w:r>
      <w:r w:rsidRPr="00B1459C">
        <w:rPr>
          <w:rFonts w:ascii="Arial" w:hAnsi="Arial" w:cs="Arial"/>
          <w:u w:val="single"/>
        </w:rPr>
        <w:t>May 20, 2024</w:t>
      </w:r>
      <w:r>
        <w:rPr>
          <w:rFonts w:ascii="Arial" w:hAnsi="Arial" w:cs="Arial"/>
        </w:rPr>
        <w:t>_____</w:t>
      </w:r>
      <w:r w:rsidR="00781DA5">
        <w:rPr>
          <w:rFonts w:ascii="Arial" w:hAnsi="Arial" w:cs="Arial"/>
        </w:rPr>
        <w:tab/>
      </w:r>
      <w:r w:rsidR="00781DA5">
        <w:rPr>
          <w:rFonts w:ascii="Arial" w:hAnsi="Arial" w:cs="Arial"/>
        </w:rPr>
        <w:tab/>
        <w:t>Re-Introduced:</w:t>
      </w:r>
      <w:r w:rsidR="00781DA5">
        <w:rPr>
          <w:rFonts w:ascii="Arial" w:hAnsi="Arial" w:cs="Arial"/>
          <w:u w:val="single"/>
        </w:rPr>
        <w:t xml:space="preserve">  May 5</w:t>
      </w:r>
      <w:r w:rsidR="00781DA5" w:rsidRPr="00781DA5">
        <w:rPr>
          <w:rFonts w:ascii="Arial" w:hAnsi="Arial" w:cs="Arial"/>
          <w:u w:val="single"/>
          <w:vertAlign w:val="superscript"/>
        </w:rPr>
        <w:t>th</w:t>
      </w:r>
      <w:r w:rsidR="00781DA5">
        <w:rPr>
          <w:rFonts w:ascii="Arial" w:hAnsi="Arial" w:cs="Arial"/>
          <w:u w:val="single"/>
        </w:rPr>
        <w:t>, 2025</w:t>
      </w:r>
    </w:p>
    <w:p w14:paraId="66ED7694" w14:textId="20A49F7C" w:rsidR="00B1459C" w:rsidRPr="00781DA5" w:rsidRDefault="00B1459C" w:rsidP="00576306">
      <w:pPr>
        <w:spacing w:line="480" w:lineRule="auto"/>
        <w:jc w:val="both"/>
        <w:rPr>
          <w:rFonts w:ascii="Arial" w:hAnsi="Arial" w:cs="Arial"/>
          <w:u w:val="single"/>
        </w:rPr>
      </w:pPr>
      <w:r>
        <w:rPr>
          <w:rFonts w:ascii="Arial" w:hAnsi="Arial" w:cs="Arial"/>
        </w:rPr>
        <w:t>Adopted:</w:t>
      </w:r>
      <w:r>
        <w:rPr>
          <w:rFonts w:ascii="Arial" w:hAnsi="Arial" w:cs="Arial"/>
        </w:rPr>
        <w:tab/>
        <w:t>_</w:t>
      </w:r>
      <w:r w:rsidRPr="00B1459C">
        <w:rPr>
          <w:rFonts w:ascii="Arial" w:hAnsi="Arial" w:cs="Arial"/>
          <w:u w:val="single"/>
        </w:rPr>
        <w:t>June 17, 2024</w:t>
      </w:r>
      <w:r>
        <w:rPr>
          <w:rFonts w:ascii="Arial" w:hAnsi="Arial" w:cs="Arial"/>
        </w:rPr>
        <w:t>____</w:t>
      </w:r>
      <w:r w:rsidR="00781DA5">
        <w:rPr>
          <w:rFonts w:ascii="Arial" w:hAnsi="Arial" w:cs="Arial"/>
        </w:rPr>
        <w:tab/>
      </w:r>
      <w:r w:rsidR="00781DA5">
        <w:rPr>
          <w:rFonts w:ascii="Arial" w:hAnsi="Arial" w:cs="Arial"/>
        </w:rPr>
        <w:tab/>
        <w:t>Adopted:</w:t>
      </w:r>
      <w:proofErr w:type="gramStart"/>
      <w:r w:rsidR="00781DA5">
        <w:rPr>
          <w:rFonts w:ascii="Arial" w:hAnsi="Arial" w:cs="Arial"/>
        </w:rPr>
        <w:tab/>
        <w:t xml:space="preserve">  </w:t>
      </w:r>
      <w:r w:rsidR="00781DA5">
        <w:rPr>
          <w:rFonts w:ascii="Arial" w:hAnsi="Arial" w:cs="Arial"/>
          <w:u w:val="single"/>
        </w:rPr>
        <w:t>May</w:t>
      </w:r>
      <w:proofErr w:type="gramEnd"/>
      <w:r w:rsidR="00781DA5">
        <w:rPr>
          <w:rFonts w:ascii="Arial" w:hAnsi="Arial" w:cs="Arial"/>
          <w:u w:val="single"/>
        </w:rPr>
        <w:t xml:space="preserve"> 19, 2025</w:t>
      </w:r>
    </w:p>
    <w:tbl>
      <w:tblPr>
        <w:tblpPr w:leftFromText="180" w:rightFromText="180" w:vertAnchor="text" w:horzAnchor="margin" w:tblpY="112"/>
        <w:tblW w:w="9547" w:type="dxa"/>
        <w:tblCellMar>
          <w:top w:w="14" w:type="dxa"/>
          <w:left w:w="106" w:type="dxa"/>
          <w:right w:w="82" w:type="dxa"/>
        </w:tblCellMar>
        <w:tblLook w:val="04A0" w:firstRow="1" w:lastRow="0" w:firstColumn="1" w:lastColumn="0" w:noHBand="0" w:noVBand="1"/>
      </w:tblPr>
      <w:tblGrid>
        <w:gridCol w:w="1984"/>
        <w:gridCol w:w="1082"/>
        <w:gridCol w:w="1260"/>
        <w:gridCol w:w="989"/>
        <w:gridCol w:w="1080"/>
        <w:gridCol w:w="1620"/>
        <w:gridCol w:w="1532"/>
      </w:tblGrid>
      <w:tr w:rsidR="00781DA5" w:rsidRPr="00A72E1C" w14:paraId="37F290EF" w14:textId="77777777" w:rsidTr="002E35EB">
        <w:trPr>
          <w:trHeight w:val="296"/>
        </w:trPr>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1126C900" w14:textId="77777777" w:rsidR="00781DA5" w:rsidRPr="00CC1107" w:rsidRDefault="00781DA5" w:rsidP="002E35EB">
            <w:pPr>
              <w:spacing w:line="259" w:lineRule="auto"/>
              <w:ind w:left="82"/>
            </w:pPr>
            <w:r w:rsidRPr="00CC1107">
              <w:rPr>
                <w:color w:val="000000"/>
              </w:rPr>
              <w:t>C</w:t>
            </w:r>
            <w:r w:rsidRPr="00CC1107">
              <w:rPr>
                <w:color w:val="000000"/>
                <w:sz w:val="19"/>
              </w:rPr>
              <w:t>OUNCILPERSON</w:t>
            </w:r>
            <w:r w:rsidRPr="00CC1107">
              <w:rPr>
                <w:color w:val="000000"/>
              </w:rPr>
              <w:t xml:space="preserve"> </w:t>
            </w:r>
          </w:p>
        </w:tc>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17F9C0B8" w14:textId="77777777" w:rsidR="00781DA5" w:rsidRPr="00CC1107" w:rsidRDefault="00781DA5" w:rsidP="002E35EB">
            <w:pPr>
              <w:spacing w:line="259" w:lineRule="auto"/>
              <w:ind w:left="29"/>
            </w:pPr>
            <w:r w:rsidRPr="00CC1107">
              <w:rPr>
                <w:color w:val="000000"/>
              </w:rPr>
              <w:t>M</w:t>
            </w:r>
            <w:r w:rsidRPr="00CC1107">
              <w:rPr>
                <w:color w:val="000000"/>
                <w:sz w:val="19"/>
              </w:rPr>
              <w:t>OTION</w:t>
            </w:r>
            <w:r w:rsidRPr="00CC1107">
              <w:rPr>
                <w:color w:val="000000"/>
              </w:rPr>
              <w:t xml:space="preserve">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14:paraId="636323C4" w14:textId="77777777" w:rsidR="00781DA5" w:rsidRPr="00CC1107" w:rsidRDefault="00781DA5" w:rsidP="002E35EB">
            <w:pPr>
              <w:spacing w:line="259" w:lineRule="auto"/>
              <w:ind w:left="127"/>
            </w:pPr>
            <w:r w:rsidRPr="00CC1107">
              <w:rPr>
                <w:color w:val="000000"/>
              </w:rPr>
              <w:t>S</w:t>
            </w:r>
            <w:r w:rsidRPr="00CC1107">
              <w:rPr>
                <w:color w:val="000000"/>
                <w:sz w:val="19"/>
              </w:rPr>
              <w:t>ECOND</w:t>
            </w:r>
            <w:r w:rsidRPr="00CC1107">
              <w:rPr>
                <w:color w:val="000000"/>
              </w:rPr>
              <w:t xml:space="preserve"> </w:t>
            </w:r>
          </w:p>
        </w:tc>
        <w:tc>
          <w:tcPr>
            <w:tcW w:w="989" w:type="dxa"/>
            <w:tcBorders>
              <w:top w:val="single" w:sz="8" w:space="0" w:color="000000"/>
              <w:left w:val="single" w:sz="8" w:space="0" w:color="000000"/>
              <w:bottom w:val="single" w:sz="4" w:space="0" w:color="000000"/>
              <w:right w:val="single" w:sz="4" w:space="0" w:color="000000"/>
            </w:tcBorders>
            <w:shd w:val="clear" w:color="auto" w:fill="auto"/>
          </w:tcPr>
          <w:p w14:paraId="6D5FF6A2" w14:textId="77777777" w:rsidR="00781DA5" w:rsidRPr="00CC1107" w:rsidRDefault="00781DA5" w:rsidP="002E35EB">
            <w:pPr>
              <w:spacing w:line="259" w:lineRule="auto"/>
              <w:ind w:right="33"/>
              <w:jc w:val="center"/>
            </w:pPr>
            <w:r w:rsidRPr="00CC1107">
              <w:rPr>
                <w:color w:val="000000"/>
              </w:rPr>
              <w:t>Y</w:t>
            </w:r>
            <w:r w:rsidRPr="00CC1107">
              <w:rPr>
                <w:color w:val="000000"/>
                <w:sz w:val="19"/>
              </w:rPr>
              <w:t>ES</w:t>
            </w:r>
            <w:r w:rsidRPr="00CC1107">
              <w:rPr>
                <w:color w:val="000000"/>
              </w:rPr>
              <w:t xml:space="preserve"> </w:t>
            </w:r>
          </w:p>
        </w:tc>
        <w:tc>
          <w:tcPr>
            <w:tcW w:w="1080" w:type="dxa"/>
            <w:tcBorders>
              <w:top w:val="single" w:sz="8" w:space="0" w:color="000000"/>
              <w:left w:val="single" w:sz="4" w:space="0" w:color="000000"/>
              <w:bottom w:val="single" w:sz="4" w:space="0" w:color="000000"/>
              <w:right w:val="single" w:sz="8" w:space="0" w:color="000000"/>
            </w:tcBorders>
            <w:shd w:val="clear" w:color="auto" w:fill="auto"/>
          </w:tcPr>
          <w:p w14:paraId="15859C4A" w14:textId="77777777" w:rsidR="00781DA5" w:rsidRPr="00CC1107" w:rsidRDefault="00781DA5" w:rsidP="002E35EB">
            <w:pPr>
              <w:spacing w:line="259" w:lineRule="auto"/>
              <w:ind w:right="25"/>
              <w:jc w:val="center"/>
            </w:pPr>
            <w:r w:rsidRPr="00CC1107">
              <w:rPr>
                <w:color w:val="000000"/>
              </w:rPr>
              <w:t>N</w:t>
            </w:r>
            <w:r w:rsidRPr="00CC1107">
              <w:rPr>
                <w:color w:val="000000"/>
                <w:sz w:val="19"/>
              </w:rPr>
              <w:t>O</w:t>
            </w:r>
            <w:r w:rsidRPr="00CC1107">
              <w:rPr>
                <w:color w:val="00000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14:paraId="41C98B0A" w14:textId="77777777" w:rsidR="00781DA5" w:rsidRPr="00CC1107" w:rsidRDefault="00781DA5" w:rsidP="002E35EB">
            <w:pPr>
              <w:spacing w:line="259" w:lineRule="auto"/>
              <w:ind w:right="28"/>
              <w:jc w:val="center"/>
            </w:pPr>
            <w:r w:rsidRPr="00CC1107">
              <w:rPr>
                <w:color w:val="000000"/>
              </w:rPr>
              <w:t>A</w:t>
            </w:r>
            <w:r w:rsidRPr="00CC1107">
              <w:rPr>
                <w:color w:val="000000"/>
                <w:sz w:val="19"/>
              </w:rPr>
              <w:t>BSTAIN</w:t>
            </w:r>
            <w:r w:rsidRPr="00CC1107">
              <w:rPr>
                <w:color w:val="000000"/>
              </w:rP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auto" w:fill="auto"/>
          </w:tcPr>
          <w:p w14:paraId="6BE7D566" w14:textId="77777777" w:rsidR="00781DA5" w:rsidRPr="00CC1107" w:rsidRDefault="00781DA5" w:rsidP="002E35EB">
            <w:pPr>
              <w:spacing w:line="259" w:lineRule="auto"/>
              <w:ind w:right="27"/>
              <w:jc w:val="center"/>
            </w:pPr>
            <w:r w:rsidRPr="00CC1107">
              <w:rPr>
                <w:color w:val="000000"/>
              </w:rPr>
              <w:t>A</w:t>
            </w:r>
            <w:r w:rsidRPr="00CC1107">
              <w:rPr>
                <w:color w:val="000000"/>
                <w:sz w:val="19"/>
              </w:rPr>
              <w:t>BSENT</w:t>
            </w:r>
            <w:r w:rsidRPr="00CC1107">
              <w:rPr>
                <w:color w:val="000000"/>
              </w:rPr>
              <w:t xml:space="preserve"> </w:t>
            </w:r>
          </w:p>
        </w:tc>
      </w:tr>
      <w:tr w:rsidR="00781DA5" w:rsidRPr="00A72E1C" w14:paraId="6B1AC99F" w14:textId="77777777" w:rsidTr="002E35EB">
        <w:trPr>
          <w:trHeight w:val="421"/>
        </w:trPr>
        <w:tc>
          <w:tcPr>
            <w:tcW w:w="1985" w:type="dxa"/>
            <w:tcBorders>
              <w:top w:val="single" w:sz="8" w:space="0" w:color="000000"/>
              <w:left w:val="single" w:sz="8" w:space="0" w:color="000000"/>
              <w:bottom w:val="single" w:sz="4" w:space="0" w:color="000000"/>
              <w:right w:val="single" w:sz="8" w:space="0" w:color="000000"/>
            </w:tcBorders>
            <w:shd w:val="clear" w:color="auto" w:fill="auto"/>
            <w:vAlign w:val="bottom"/>
          </w:tcPr>
          <w:p w14:paraId="6FAEE36F" w14:textId="77777777" w:rsidR="00781DA5" w:rsidRPr="00CC1107" w:rsidRDefault="00781DA5" w:rsidP="002E35EB">
            <w:pPr>
              <w:spacing w:line="259" w:lineRule="auto"/>
            </w:pPr>
            <w:r w:rsidRPr="00CC1107">
              <w:rPr>
                <w:color w:val="000000"/>
              </w:rPr>
              <w:t xml:space="preserve">GUTIERREZ </w:t>
            </w:r>
          </w:p>
        </w:tc>
        <w:tc>
          <w:tcPr>
            <w:tcW w:w="1081" w:type="dxa"/>
            <w:tcBorders>
              <w:top w:val="single" w:sz="8" w:space="0" w:color="000000"/>
              <w:left w:val="single" w:sz="8" w:space="0" w:color="000000"/>
              <w:bottom w:val="single" w:sz="4" w:space="0" w:color="000000"/>
              <w:right w:val="single" w:sz="8" w:space="0" w:color="000000"/>
            </w:tcBorders>
            <w:shd w:val="clear" w:color="auto" w:fill="auto"/>
            <w:vAlign w:val="bottom"/>
          </w:tcPr>
          <w:p w14:paraId="23580586" w14:textId="77777777" w:rsidR="00781DA5" w:rsidRPr="00CC1107" w:rsidRDefault="00781DA5" w:rsidP="002E35EB">
            <w:pPr>
              <w:spacing w:line="259" w:lineRule="auto"/>
              <w:rPr>
                <w:b/>
                <w:bCs/>
              </w:rPr>
            </w:pPr>
          </w:p>
        </w:tc>
        <w:tc>
          <w:tcPr>
            <w:tcW w:w="1260" w:type="dxa"/>
            <w:tcBorders>
              <w:top w:val="single" w:sz="8" w:space="0" w:color="000000"/>
              <w:left w:val="single" w:sz="8" w:space="0" w:color="000000"/>
              <w:bottom w:val="single" w:sz="4" w:space="0" w:color="000000"/>
              <w:right w:val="single" w:sz="8" w:space="0" w:color="000000"/>
            </w:tcBorders>
            <w:shd w:val="clear" w:color="auto" w:fill="auto"/>
            <w:vAlign w:val="bottom"/>
          </w:tcPr>
          <w:p w14:paraId="02D8A440" w14:textId="77777777" w:rsidR="00781DA5" w:rsidRPr="00CC1107" w:rsidRDefault="00781DA5" w:rsidP="002E35EB">
            <w:pPr>
              <w:spacing w:line="259" w:lineRule="auto"/>
              <w:rPr>
                <w:b/>
                <w:bCs/>
              </w:rPr>
            </w:pPr>
          </w:p>
        </w:tc>
        <w:tc>
          <w:tcPr>
            <w:tcW w:w="989" w:type="dxa"/>
            <w:tcBorders>
              <w:top w:val="single" w:sz="4" w:space="0" w:color="000000"/>
              <w:left w:val="single" w:sz="8" w:space="0" w:color="000000"/>
              <w:bottom w:val="single" w:sz="4" w:space="0" w:color="000000"/>
              <w:right w:val="single" w:sz="4" w:space="0" w:color="000000"/>
            </w:tcBorders>
            <w:shd w:val="clear" w:color="auto" w:fill="auto"/>
          </w:tcPr>
          <w:p w14:paraId="4C21D210" w14:textId="77777777" w:rsidR="00781DA5" w:rsidRPr="00CC1107" w:rsidRDefault="00781DA5" w:rsidP="002E35EB">
            <w:pPr>
              <w:spacing w:line="259" w:lineRule="auto"/>
              <w:rPr>
                <w:b/>
                <w:bCs/>
              </w:rPr>
            </w:pPr>
          </w:p>
        </w:tc>
        <w:tc>
          <w:tcPr>
            <w:tcW w:w="1080" w:type="dxa"/>
            <w:tcBorders>
              <w:top w:val="single" w:sz="4" w:space="0" w:color="000000"/>
              <w:left w:val="single" w:sz="4" w:space="0" w:color="000000"/>
              <w:bottom w:val="single" w:sz="4" w:space="0" w:color="000000"/>
              <w:right w:val="single" w:sz="8" w:space="0" w:color="000000"/>
            </w:tcBorders>
            <w:shd w:val="clear" w:color="auto" w:fill="auto"/>
          </w:tcPr>
          <w:p w14:paraId="48848D1A" w14:textId="77777777" w:rsidR="00781DA5" w:rsidRPr="00CC1107" w:rsidRDefault="00781DA5" w:rsidP="002E35EB">
            <w:pPr>
              <w:spacing w:line="259" w:lineRule="auto"/>
              <w:ind w:left="2"/>
              <w:rPr>
                <w:b/>
                <w:bCs/>
              </w:rPr>
            </w:pPr>
          </w:p>
        </w:tc>
        <w:tc>
          <w:tcPr>
            <w:tcW w:w="1620" w:type="dxa"/>
            <w:tcBorders>
              <w:top w:val="single" w:sz="8" w:space="0" w:color="000000"/>
              <w:left w:val="single" w:sz="8" w:space="0" w:color="000000"/>
              <w:bottom w:val="single" w:sz="4" w:space="0" w:color="000000"/>
              <w:right w:val="single" w:sz="8" w:space="0" w:color="000000"/>
            </w:tcBorders>
            <w:shd w:val="clear" w:color="auto" w:fill="auto"/>
            <w:vAlign w:val="bottom"/>
          </w:tcPr>
          <w:p w14:paraId="2025EE65" w14:textId="77777777" w:rsidR="00781DA5" w:rsidRPr="00CC1107" w:rsidRDefault="00781DA5" w:rsidP="002E35EB">
            <w:pPr>
              <w:spacing w:line="259" w:lineRule="auto"/>
              <w:ind w:left="2"/>
              <w:rPr>
                <w:b/>
                <w:bCs/>
              </w:rPr>
            </w:pPr>
          </w:p>
        </w:tc>
        <w:tc>
          <w:tcPr>
            <w:tcW w:w="1532" w:type="dxa"/>
            <w:tcBorders>
              <w:top w:val="single" w:sz="8" w:space="0" w:color="000000"/>
              <w:left w:val="single" w:sz="8" w:space="0" w:color="000000"/>
              <w:bottom w:val="single" w:sz="4" w:space="0" w:color="000000"/>
              <w:right w:val="single" w:sz="8" w:space="0" w:color="000000"/>
            </w:tcBorders>
            <w:shd w:val="clear" w:color="auto" w:fill="auto"/>
            <w:vAlign w:val="bottom"/>
          </w:tcPr>
          <w:p w14:paraId="6A376B43" w14:textId="77777777" w:rsidR="00781DA5" w:rsidRPr="00CC1107" w:rsidRDefault="00781DA5" w:rsidP="002E35EB">
            <w:pPr>
              <w:spacing w:line="259" w:lineRule="auto"/>
              <w:ind w:left="2"/>
              <w:rPr>
                <w:b/>
                <w:bCs/>
              </w:rPr>
            </w:pPr>
          </w:p>
        </w:tc>
      </w:tr>
      <w:tr w:rsidR="00781DA5" w:rsidRPr="00A72E1C" w14:paraId="49C06A47" w14:textId="77777777" w:rsidTr="002E35EB">
        <w:trPr>
          <w:trHeight w:val="361"/>
        </w:trPr>
        <w:tc>
          <w:tcPr>
            <w:tcW w:w="1985" w:type="dxa"/>
            <w:tcBorders>
              <w:top w:val="single" w:sz="4" w:space="0" w:color="000000"/>
              <w:left w:val="single" w:sz="8" w:space="0" w:color="000000"/>
              <w:bottom w:val="single" w:sz="4" w:space="0" w:color="000000"/>
              <w:right w:val="single" w:sz="8" w:space="0" w:color="000000"/>
            </w:tcBorders>
            <w:shd w:val="clear" w:color="auto" w:fill="auto"/>
          </w:tcPr>
          <w:p w14:paraId="7DB5C242" w14:textId="77777777" w:rsidR="00781DA5" w:rsidRPr="00CC1107" w:rsidRDefault="00781DA5" w:rsidP="002E35EB">
            <w:pPr>
              <w:spacing w:line="259" w:lineRule="auto"/>
            </w:pPr>
            <w:r w:rsidRPr="00CC1107">
              <w:rPr>
                <w:color w:val="000000"/>
              </w:rPr>
              <w:t xml:space="preserve">LAWLOR </w:t>
            </w:r>
          </w:p>
        </w:tc>
        <w:tc>
          <w:tcPr>
            <w:tcW w:w="1081" w:type="dxa"/>
            <w:tcBorders>
              <w:top w:val="single" w:sz="4" w:space="0" w:color="000000"/>
              <w:left w:val="single" w:sz="8" w:space="0" w:color="000000"/>
              <w:bottom w:val="single" w:sz="4" w:space="0" w:color="000000"/>
              <w:right w:val="single" w:sz="8" w:space="0" w:color="000000"/>
            </w:tcBorders>
            <w:shd w:val="clear" w:color="auto" w:fill="auto"/>
          </w:tcPr>
          <w:p w14:paraId="40EA5497" w14:textId="77777777" w:rsidR="00781DA5" w:rsidRPr="00CC1107" w:rsidRDefault="00781DA5" w:rsidP="002E35EB">
            <w:pPr>
              <w:spacing w:line="259" w:lineRule="auto"/>
              <w:rPr>
                <w:b/>
                <w:bCs/>
              </w:rPr>
            </w:pP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14:paraId="78BBED02" w14:textId="77777777" w:rsidR="00781DA5" w:rsidRPr="00CC1107" w:rsidRDefault="00781DA5" w:rsidP="002E35EB">
            <w:pPr>
              <w:spacing w:line="259" w:lineRule="auto"/>
              <w:rPr>
                <w:b/>
                <w:bCs/>
              </w:rPr>
            </w:pPr>
          </w:p>
        </w:tc>
        <w:tc>
          <w:tcPr>
            <w:tcW w:w="989" w:type="dxa"/>
            <w:tcBorders>
              <w:top w:val="single" w:sz="4" w:space="0" w:color="000000"/>
              <w:left w:val="single" w:sz="8" w:space="0" w:color="000000"/>
              <w:bottom w:val="single" w:sz="4" w:space="0" w:color="000000"/>
              <w:right w:val="single" w:sz="4" w:space="0" w:color="000000"/>
            </w:tcBorders>
            <w:shd w:val="clear" w:color="auto" w:fill="auto"/>
          </w:tcPr>
          <w:p w14:paraId="5C8062DB" w14:textId="77777777" w:rsidR="00781DA5" w:rsidRPr="00CC1107" w:rsidRDefault="00781DA5" w:rsidP="002E35EB">
            <w:pPr>
              <w:spacing w:line="259" w:lineRule="auto"/>
              <w:rPr>
                <w:b/>
                <w:bCs/>
              </w:rPr>
            </w:pPr>
          </w:p>
        </w:tc>
        <w:tc>
          <w:tcPr>
            <w:tcW w:w="1080" w:type="dxa"/>
            <w:tcBorders>
              <w:top w:val="single" w:sz="4" w:space="0" w:color="000000"/>
              <w:left w:val="single" w:sz="4" w:space="0" w:color="000000"/>
              <w:bottom w:val="single" w:sz="4" w:space="0" w:color="000000"/>
              <w:right w:val="single" w:sz="8" w:space="0" w:color="000000"/>
            </w:tcBorders>
            <w:shd w:val="clear" w:color="auto" w:fill="auto"/>
          </w:tcPr>
          <w:p w14:paraId="445D5296" w14:textId="77777777" w:rsidR="00781DA5" w:rsidRPr="00CC1107" w:rsidRDefault="00781DA5" w:rsidP="002E35EB">
            <w:pPr>
              <w:spacing w:line="259" w:lineRule="auto"/>
              <w:ind w:left="2"/>
              <w:rPr>
                <w:b/>
                <w:bCs/>
              </w:rPr>
            </w:pPr>
          </w:p>
        </w:tc>
        <w:tc>
          <w:tcPr>
            <w:tcW w:w="1620" w:type="dxa"/>
            <w:tcBorders>
              <w:top w:val="single" w:sz="4" w:space="0" w:color="000000"/>
              <w:left w:val="single" w:sz="8" w:space="0" w:color="000000"/>
              <w:bottom w:val="single" w:sz="4" w:space="0" w:color="000000"/>
              <w:right w:val="single" w:sz="8" w:space="0" w:color="000000"/>
            </w:tcBorders>
            <w:shd w:val="clear" w:color="auto" w:fill="auto"/>
            <w:vAlign w:val="bottom"/>
          </w:tcPr>
          <w:p w14:paraId="4B3614F7" w14:textId="77777777" w:rsidR="00781DA5" w:rsidRPr="00CC1107" w:rsidRDefault="00781DA5" w:rsidP="002E35EB">
            <w:pPr>
              <w:spacing w:line="259" w:lineRule="auto"/>
              <w:ind w:left="2"/>
              <w:rPr>
                <w:b/>
                <w:bCs/>
              </w:rPr>
            </w:pPr>
          </w:p>
        </w:tc>
        <w:tc>
          <w:tcPr>
            <w:tcW w:w="1532" w:type="dxa"/>
            <w:tcBorders>
              <w:top w:val="single" w:sz="4" w:space="0" w:color="000000"/>
              <w:left w:val="single" w:sz="8" w:space="0" w:color="000000"/>
              <w:bottom w:val="single" w:sz="4" w:space="0" w:color="000000"/>
              <w:right w:val="single" w:sz="8" w:space="0" w:color="000000"/>
            </w:tcBorders>
            <w:shd w:val="clear" w:color="auto" w:fill="auto"/>
          </w:tcPr>
          <w:p w14:paraId="74CF24B7" w14:textId="77777777" w:rsidR="00781DA5" w:rsidRPr="00CC1107" w:rsidRDefault="00781DA5" w:rsidP="002E35EB">
            <w:pPr>
              <w:spacing w:line="259" w:lineRule="auto"/>
              <w:ind w:left="2"/>
              <w:rPr>
                <w:b/>
                <w:bCs/>
              </w:rPr>
            </w:pPr>
          </w:p>
        </w:tc>
      </w:tr>
      <w:tr w:rsidR="00781DA5" w:rsidRPr="00A72E1C" w14:paraId="4D73521D" w14:textId="77777777" w:rsidTr="002E35EB">
        <w:trPr>
          <w:trHeight w:val="341"/>
        </w:trPr>
        <w:tc>
          <w:tcPr>
            <w:tcW w:w="1985" w:type="dxa"/>
            <w:tcBorders>
              <w:top w:val="single" w:sz="4" w:space="0" w:color="000000"/>
              <w:left w:val="single" w:sz="8" w:space="0" w:color="000000"/>
              <w:bottom w:val="single" w:sz="4" w:space="0" w:color="000000"/>
              <w:right w:val="single" w:sz="8" w:space="0" w:color="000000"/>
            </w:tcBorders>
            <w:shd w:val="clear" w:color="auto" w:fill="auto"/>
          </w:tcPr>
          <w:p w14:paraId="75BA11E9" w14:textId="77777777" w:rsidR="00781DA5" w:rsidRPr="00CC1107" w:rsidRDefault="00781DA5" w:rsidP="002E35EB">
            <w:pPr>
              <w:spacing w:line="259" w:lineRule="auto"/>
            </w:pPr>
            <w:r w:rsidRPr="00CC1107">
              <w:rPr>
                <w:color w:val="000000"/>
                <w:szCs w:val="36"/>
              </w:rPr>
              <w:t>MONTE</w:t>
            </w:r>
            <w:r w:rsidRPr="00CC1107">
              <w:rPr>
                <w:color w:val="000000"/>
                <w:sz w:val="36"/>
                <w:szCs w:val="36"/>
              </w:rPr>
              <w:t xml:space="preserve"> </w:t>
            </w:r>
          </w:p>
        </w:tc>
        <w:tc>
          <w:tcPr>
            <w:tcW w:w="1081" w:type="dxa"/>
            <w:tcBorders>
              <w:top w:val="single" w:sz="4" w:space="0" w:color="000000"/>
              <w:left w:val="single" w:sz="8" w:space="0" w:color="000000"/>
              <w:bottom w:val="single" w:sz="4" w:space="0" w:color="000000"/>
              <w:right w:val="single" w:sz="8" w:space="0" w:color="000000"/>
            </w:tcBorders>
            <w:shd w:val="clear" w:color="auto" w:fill="auto"/>
          </w:tcPr>
          <w:p w14:paraId="7E4E1BF7" w14:textId="77777777" w:rsidR="00781DA5" w:rsidRPr="00CC1107" w:rsidRDefault="00781DA5" w:rsidP="002E35EB">
            <w:pPr>
              <w:spacing w:line="259" w:lineRule="auto"/>
              <w:rPr>
                <w:b/>
                <w:bCs/>
              </w:rPr>
            </w:pP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14:paraId="1593CA8B" w14:textId="77777777" w:rsidR="00781DA5" w:rsidRPr="00CC1107" w:rsidRDefault="00781DA5" w:rsidP="002E35EB">
            <w:pPr>
              <w:spacing w:line="259" w:lineRule="auto"/>
              <w:rPr>
                <w:b/>
                <w:bCs/>
              </w:rPr>
            </w:pPr>
          </w:p>
        </w:tc>
        <w:tc>
          <w:tcPr>
            <w:tcW w:w="989" w:type="dxa"/>
            <w:tcBorders>
              <w:top w:val="single" w:sz="4" w:space="0" w:color="000000"/>
              <w:left w:val="single" w:sz="8" w:space="0" w:color="000000"/>
              <w:bottom w:val="single" w:sz="4" w:space="0" w:color="000000"/>
              <w:right w:val="single" w:sz="4" w:space="0" w:color="000000"/>
            </w:tcBorders>
            <w:shd w:val="clear" w:color="auto" w:fill="auto"/>
          </w:tcPr>
          <w:p w14:paraId="61CDFB0E" w14:textId="77777777" w:rsidR="00781DA5" w:rsidRPr="00CC1107" w:rsidRDefault="00781DA5" w:rsidP="002E35EB">
            <w:pPr>
              <w:spacing w:line="259" w:lineRule="auto"/>
              <w:rPr>
                <w:b/>
                <w:bCs/>
              </w:rPr>
            </w:pPr>
          </w:p>
        </w:tc>
        <w:tc>
          <w:tcPr>
            <w:tcW w:w="1080" w:type="dxa"/>
            <w:tcBorders>
              <w:top w:val="single" w:sz="4" w:space="0" w:color="000000"/>
              <w:left w:val="single" w:sz="4" w:space="0" w:color="000000"/>
              <w:bottom w:val="single" w:sz="4" w:space="0" w:color="000000"/>
              <w:right w:val="single" w:sz="8" w:space="0" w:color="000000"/>
            </w:tcBorders>
            <w:shd w:val="clear" w:color="auto" w:fill="auto"/>
          </w:tcPr>
          <w:p w14:paraId="362529A5" w14:textId="77777777" w:rsidR="00781DA5" w:rsidRPr="00CC1107" w:rsidRDefault="00781DA5" w:rsidP="002E35EB">
            <w:pPr>
              <w:spacing w:line="259" w:lineRule="auto"/>
              <w:ind w:left="2"/>
              <w:rPr>
                <w:b/>
                <w:bCs/>
              </w:rPr>
            </w:pPr>
          </w:p>
        </w:tc>
        <w:tc>
          <w:tcPr>
            <w:tcW w:w="1620" w:type="dxa"/>
            <w:tcBorders>
              <w:top w:val="single" w:sz="4" w:space="0" w:color="000000"/>
              <w:left w:val="single" w:sz="8" w:space="0" w:color="000000"/>
              <w:bottom w:val="single" w:sz="4" w:space="0" w:color="000000"/>
              <w:right w:val="single" w:sz="8" w:space="0" w:color="000000"/>
            </w:tcBorders>
            <w:shd w:val="clear" w:color="auto" w:fill="auto"/>
          </w:tcPr>
          <w:p w14:paraId="4ABB6573" w14:textId="77777777" w:rsidR="00781DA5" w:rsidRPr="00CC1107" w:rsidRDefault="00781DA5" w:rsidP="002E35EB">
            <w:pPr>
              <w:spacing w:line="259" w:lineRule="auto"/>
              <w:ind w:left="2"/>
              <w:rPr>
                <w:b/>
                <w:bCs/>
              </w:rPr>
            </w:pPr>
          </w:p>
        </w:tc>
        <w:tc>
          <w:tcPr>
            <w:tcW w:w="1532" w:type="dxa"/>
            <w:tcBorders>
              <w:top w:val="single" w:sz="4" w:space="0" w:color="000000"/>
              <w:left w:val="single" w:sz="8" w:space="0" w:color="000000"/>
              <w:bottom w:val="single" w:sz="4" w:space="0" w:color="000000"/>
              <w:right w:val="single" w:sz="8" w:space="0" w:color="000000"/>
            </w:tcBorders>
            <w:shd w:val="clear" w:color="auto" w:fill="auto"/>
          </w:tcPr>
          <w:p w14:paraId="122FC3B3" w14:textId="77777777" w:rsidR="00781DA5" w:rsidRPr="00CC1107" w:rsidRDefault="00781DA5" w:rsidP="002E35EB">
            <w:pPr>
              <w:spacing w:line="259" w:lineRule="auto"/>
              <w:ind w:left="2"/>
              <w:rPr>
                <w:b/>
                <w:bCs/>
              </w:rPr>
            </w:pPr>
          </w:p>
        </w:tc>
      </w:tr>
      <w:tr w:rsidR="00781DA5" w:rsidRPr="00A72E1C" w14:paraId="242DF949" w14:textId="77777777" w:rsidTr="002E35EB">
        <w:trPr>
          <w:trHeight w:val="360"/>
        </w:trPr>
        <w:tc>
          <w:tcPr>
            <w:tcW w:w="1985" w:type="dxa"/>
            <w:tcBorders>
              <w:top w:val="single" w:sz="4" w:space="0" w:color="000000"/>
              <w:left w:val="single" w:sz="8" w:space="0" w:color="000000"/>
              <w:bottom w:val="single" w:sz="4" w:space="0" w:color="000000"/>
              <w:right w:val="single" w:sz="8" w:space="0" w:color="000000"/>
            </w:tcBorders>
            <w:shd w:val="clear" w:color="auto" w:fill="auto"/>
          </w:tcPr>
          <w:p w14:paraId="5C220331" w14:textId="77777777" w:rsidR="00781DA5" w:rsidRPr="00CC1107" w:rsidRDefault="00781DA5" w:rsidP="002E35EB">
            <w:pPr>
              <w:spacing w:line="259" w:lineRule="auto"/>
            </w:pPr>
            <w:r w:rsidRPr="00CC1107">
              <w:rPr>
                <w:color w:val="000000"/>
              </w:rPr>
              <w:t xml:space="preserve">VIDAL </w:t>
            </w:r>
          </w:p>
        </w:tc>
        <w:tc>
          <w:tcPr>
            <w:tcW w:w="1081" w:type="dxa"/>
            <w:tcBorders>
              <w:top w:val="single" w:sz="4" w:space="0" w:color="000000"/>
              <w:left w:val="single" w:sz="8" w:space="0" w:color="000000"/>
              <w:bottom w:val="single" w:sz="4" w:space="0" w:color="000000"/>
              <w:right w:val="single" w:sz="8" w:space="0" w:color="000000"/>
            </w:tcBorders>
            <w:shd w:val="clear" w:color="auto" w:fill="auto"/>
          </w:tcPr>
          <w:p w14:paraId="1FE154C8" w14:textId="77777777" w:rsidR="00781DA5" w:rsidRPr="00CC1107" w:rsidRDefault="00781DA5" w:rsidP="002E35EB">
            <w:pPr>
              <w:spacing w:line="259" w:lineRule="auto"/>
              <w:rPr>
                <w:b/>
                <w:bCs/>
              </w:rPr>
            </w:pP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14:paraId="227E384D" w14:textId="77777777" w:rsidR="00781DA5" w:rsidRPr="00CC1107" w:rsidRDefault="00781DA5" w:rsidP="002E35EB">
            <w:pPr>
              <w:spacing w:line="259" w:lineRule="auto"/>
              <w:rPr>
                <w:b/>
                <w:bCs/>
              </w:rPr>
            </w:pPr>
          </w:p>
        </w:tc>
        <w:tc>
          <w:tcPr>
            <w:tcW w:w="989" w:type="dxa"/>
            <w:tcBorders>
              <w:top w:val="single" w:sz="4" w:space="0" w:color="000000"/>
              <w:left w:val="single" w:sz="8" w:space="0" w:color="000000"/>
              <w:bottom w:val="single" w:sz="4" w:space="0" w:color="000000"/>
              <w:right w:val="single" w:sz="4" w:space="0" w:color="000000"/>
            </w:tcBorders>
            <w:shd w:val="clear" w:color="auto" w:fill="auto"/>
          </w:tcPr>
          <w:p w14:paraId="5F42ABED" w14:textId="77777777" w:rsidR="00781DA5" w:rsidRPr="00CC1107" w:rsidRDefault="00781DA5" w:rsidP="002E35EB">
            <w:pPr>
              <w:spacing w:line="259" w:lineRule="auto"/>
              <w:rPr>
                <w:b/>
                <w:bCs/>
              </w:rPr>
            </w:pPr>
          </w:p>
        </w:tc>
        <w:tc>
          <w:tcPr>
            <w:tcW w:w="1080" w:type="dxa"/>
            <w:tcBorders>
              <w:top w:val="single" w:sz="4" w:space="0" w:color="000000"/>
              <w:left w:val="single" w:sz="4" w:space="0" w:color="000000"/>
              <w:bottom w:val="single" w:sz="4" w:space="0" w:color="000000"/>
              <w:right w:val="single" w:sz="8" w:space="0" w:color="000000"/>
            </w:tcBorders>
            <w:shd w:val="clear" w:color="auto" w:fill="auto"/>
          </w:tcPr>
          <w:p w14:paraId="1BCA87A7" w14:textId="77777777" w:rsidR="00781DA5" w:rsidRPr="00CC1107" w:rsidRDefault="00781DA5" w:rsidP="002E35EB">
            <w:pPr>
              <w:spacing w:line="259" w:lineRule="auto"/>
              <w:ind w:left="2"/>
              <w:rPr>
                <w:b/>
                <w:bCs/>
              </w:rPr>
            </w:pPr>
          </w:p>
        </w:tc>
        <w:tc>
          <w:tcPr>
            <w:tcW w:w="1620" w:type="dxa"/>
            <w:tcBorders>
              <w:top w:val="single" w:sz="4" w:space="0" w:color="000000"/>
              <w:left w:val="single" w:sz="8" w:space="0" w:color="000000"/>
              <w:bottom w:val="single" w:sz="4" w:space="0" w:color="000000"/>
              <w:right w:val="single" w:sz="8" w:space="0" w:color="000000"/>
            </w:tcBorders>
            <w:shd w:val="clear" w:color="auto" w:fill="auto"/>
          </w:tcPr>
          <w:p w14:paraId="43C2E25E" w14:textId="77777777" w:rsidR="00781DA5" w:rsidRPr="00CC1107" w:rsidRDefault="00781DA5" w:rsidP="002E35EB">
            <w:pPr>
              <w:spacing w:line="259" w:lineRule="auto"/>
              <w:ind w:left="2"/>
              <w:rPr>
                <w:b/>
                <w:bCs/>
              </w:rPr>
            </w:pPr>
          </w:p>
        </w:tc>
        <w:tc>
          <w:tcPr>
            <w:tcW w:w="1532" w:type="dxa"/>
            <w:tcBorders>
              <w:top w:val="single" w:sz="4" w:space="0" w:color="000000"/>
              <w:left w:val="single" w:sz="8" w:space="0" w:color="000000"/>
              <w:bottom w:val="single" w:sz="4" w:space="0" w:color="000000"/>
              <w:right w:val="single" w:sz="8" w:space="0" w:color="000000"/>
            </w:tcBorders>
            <w:shd w:val="clear" w:color="auto" w:fill="auto"/>
          </w:tcPr>
          <w:p w14:paraId="2672FBAE" w14:textId="77777777" w:rsidR="00781DA5" w:rsidRPr="00CC1107" w:rsidRDefault="00781DA5" w:rsidP="002E35EB">
            <w:pPr>
              <w:spacing w:line="259" w:lineRule="auto"/>
              <w:ind w:left="2"/>
              <w:rPr>
                <w:b/>
                <w:bCs/>
              </w:rPr>
            </w:pPr>
          </w:p>
        </w:tc>
      </w:tr>
      <w:tr w:rsidR="00781DA5" w:rsidRPr="00A72E1C" w14:paraId="1E66B231" w14:textId="77777777" w:rsidTr="002E35EB">
        <w:trPr>
          <w:trHeight w:val="360"/>
        </w:trPr>
        <w:tc>
          <w:tcPr>
            <w:tcW w:w="1985" w:type="dxa"/>
            <w:tcBorders>
              <w:top w:val="single" w:sz="4" w:space="0" w:color="000000"/>
              <w:left w:val="single" w:sz="8" w:space="0" w:color="000000"/>
              <w:bottom w:val="single" w:sz="4" w:space="0" w:color="000000"/>
              <w:right w:val="single" w:sz="8" w:space="0" w:color="000000"/>
            </w:tcBorders>
            <w:shd w:val="clear" w:color="auto" w:fill="auto"/>
            <w:vAlign w:val="bottom"/>
          </w:tcPr>
          <w:p w14:paraId="12C12C68" w14:textId="77777777" w:rsidR="00781DA5" w:rsidRPr="00CC1107" w:rsidRDefault="00781DA5" w:rsidP="002E35EB">
            <w:pPr>
              <w:spacing w:line="259" w:lineRule="auto"/>
            </w:pPr>
            <w:r w:rsidRPr="00CC1107">
              <w:rPr>
                <w:color w:val="000000"/>
              </w:rPr>
              <w:t>M</w:t>
            </w:r>
            <w:r w:rsidRPr="00CC1107">
              <w:rPr>
                <w:color w:val="000000"/>
                <w:sz w:val="19"/>
              </w:rPr>
              <w:t xml:space="preserve">ARTIN </w:t>
            </w:r>
            <w:r w:rsidRPr="00CC1107">
              <w:rPr>
                <w:color w:val="000000"/>
              </w:rPr>
              <w:t xml:space="preserve"> </w:t>
            </w:r>
          </w:p>
        </w:tc>
        <w:tc>
          <w:tcPr>
            <w:tcW w:w="1081" w:type="dxa"/>
            <w:tcBorders>
              <w:top w:val="single" w:sz="4" w:space="0" w:color="000000"/>
              <w:left w:val="single" w:sz="8" w:space="0" w:color="000000"/>
              <w:bottom w:val="single" w:sz="4" w:space="0" w:color="000000"/>
              <w:right w:val="single" w:sz="8" w:space="0" w:color="000000"/>
            </w:tcBorders>
            <w:shd w:val="clear" w:color="auto" w:fill="auto"/>
          </w:tcPr>
          <w:p w14:paraId="17D13ED1" w14:textId="77777777" w:rsidR="00781DA5" w:rsidRPr="00CC1107" w:rsidRDefault="00781DA5" w:rsidP="002E35EB">
            <w:pPr>
              <w:spacing w:line="259" w:lineRule="auto"/>
              <w:rPr>
                <w:b/>
                <w:bCs/>
              </w:rPr>
            </w:pPr>
          </w:p>
        </w:tc>
        <w:tc>
          <w:tcPr>
            <w:tcW w:w="1260" w:type="dxa"/>
            <w:tcBorders>
              <w:top w:val="single" w:sz="4" w:space="0" w:color="000000"/>
              <w:left w:val="single" w:sz="8" w:space="0" w:color="000000"/>
              <w:bottom w:val="single" w:sz="4" w:space="0" w:color="000000"/>
              <w:right w:val="single" w:sz="8" w:space="0" w:color="000000"/>
            </w:tcBorders>
            <w:shd w:val="clear" w:color="auto" w:fill="auto"/>
          </w:tcPr>
          <w:p w14:paraId="516391C5" w14:textId="77777777" w:rsidR="00781DA5" w:rsidRPr="00CC1107" w:rsidRDefault="00781DA5" w:rsidP="002E35EB">
            <w:pPr>
              <w:spacing w:line="259" w:lineRule="auto"/>
              <w:rPr>
                <w:b/>
                <w:bCs/>
              </w:rPr>
            </w:pPr>
          </w:p>
        </w:tc>
        <w:tc>
          <w:tcPr>
            <w:tcW w:w="989" w:type="dxa"/>
            <w:tcBorders>
              <w:top w:val="single" w:sz="4" w:space="0" w:color="000000"/>
              <w:left w:val="single" w:sz="8" w:space="0" w:color="000000"/>
              <w:bottom w:val="single" w:sz="4" w:space="0" w:color="000000"/>
              <w:right w:val="single" w:sz="4" w:space="0" w:color="000000"/>
            </w:tcBorders>
            <w:shd w:val="clear" w:color="auto" w:fill="auto"/>
          </w:tcPr>
          <w:p w14:paraId="73DC1518" w14:textId="77777777" w:rsidR="00781DA5" w:rsidRPr="00CC1107" w:rsidRDefault="00781DA5" w:rsidP="002E35EB">
            <w:pPr>
              <w:spacing w:line="259" w:lineRule="auto"/>
              <w:rPr>
                <w:b/>
                <w:bCs/>
              </w:rPr>
            </w:pPr>
          </w:p>
        </w:tc>
        <w:tc>
          <w:tcPr>
            <w:tcW w:w="1080" w:type="dxa"/>
            <w:tcBorders>
              <w:top w:val="single" w:sz="4" w:space="0" w:color="000000"/>
              <w:left w:val="single" w:sz="4" w:space="0" w:color="000000"/>
              <w:bottom w:val="single" w:sz="4" w:space="0" w:color="000000"/>
              <w:right w:val="single" w:sz="8" w:space="0" w:color="000000"/>
            </w:tcBorders>
            <w:shd w:val="clear" w:color="auto" w:fill="auto"/>
          </w:tcPr>
          <w:p w14:paraId="5D223473" w14:textId="77777777" w:rsidR="00781DA5" w:rsidRPr="00CC1107" w:rsidRDefault="00781DA5" w:rsidP="002E35EB">
            <w:pPr>
              <w:spacing w:line="259" w:lineRule="auto"/>
              <w:ind w:left="2"/>
              <w:rPr>
                <w:b/>
                <w:bCs/>
              </w:rPr>
            </w:pPr>
          </w:p>
        </w:tc>
        <w:tc>
          <w:tcPr>
            <w:tcW w:w="1620" w:type="dxa"/>
            <w:tcBorders>
              <w:top w:val="single" w:sz="4" w:space="0" w:color="000000"/>
              <w:left w:val="single" w:sz="8" w:space="0" w:color="000000"/>
              <w:bottom w:val="single" w:sz="4" w:space="0" w:color="000000"/>
              <w:right w:val="single" w:sz="8" w:space="0" w:color="000000"/>
            </w:tcBorders>
            <w:shd w:val="clear" w:color="auto" w:fill="auto"/>
          </w:tcPr>
          <w:p w14:paraId="04430E00" w14:textId="77777777" w:rsidR="00781DA5" w:rsidRPr="00CC1107" w:rsidRDefault="00781DA5" w:rsidP="002E35EB">
            <w:pPr>
              <w:spacing w:line="259" w:lineRule="auto"/>
              <w:ind w:left="2"/>
              <w:rPr>
                <w:b/>
                <w:bCs/>
              </w:rPr>
            </w:pPr>
          </w:p>
        </w:tc>
        <w:tc>
          <w:tcPr>
            <w:tcW w:w="1532" w:type="dxa"/>
            <w:tcBorders>
              <w:top w:val="single" w:sz="4" w:space="0" w:color="000000"/>
              <w:left w:val="single" w:sz="8" w:space="0" w:color="000000"/>
              <w:bottom w:val="single" w:sz="4" w:space="0" w:color="000000"/>
              <w:right w:val="single" w:sz="8" w:space="0" w:color="000000"/>
            </w:tcBorders>
            <w:shd w:val="clear" w:color="auto" w:fill="auto"/>
          </w:tcPr>
          <w:p w14:paraId="1B7CD0E5" w14:textId="77777777" w:rsidR="00781DA5" w:rsidRPr="00CC1107" w:rsidRDefault="00781DA5" w:rsidP="002E35EB">
            <w:pPr>
              <w:spacing w:line="259" w:lineRule="auto"/>
              <w:ind w:left="2"/>
              <w:rPr>
                <w:b/>
                <w:bCs/>
              </w:rPr>
            </w:pPr>
          </w:p>
        </w:tc>
      </w:tr>
      <w:tr w:rsidR="00781DA5" w:rsidRPr="00A72E1C" w14:paraId="0AACE70E" w14:textId="77777777" w:rsidTr="002E35EB">
        <w:trPr>
          <w:trHeight w:val="364"/>
        </w:trPr>
        <w:tc>
          <w:tcPr>
            <w:tcW w:w="1985" w:type="dxa"/>
            <w:tcBorders>
              <w:top w:val="single" w:sz="4" w:space="0" w:color="000000"/>
              <w:left w:val="single" w:sz="8" w:space="0" w:color="000000"/>
              <w:bottom w:val="single" w:sz="8" w:space="0" w:color="000000"/>
              <w:right w:val="single" w:sz="8" w:space="0" w:color="000000"/>
            </w:tcBorders>
            <w:shd w:val="clear" w:color="auto" w:fill="auto"/>
          </w:tcPr>
          <w:p w14:paraId="64CEC2D6" w14:textId="77777777" w:rsidR="00781DA5" w:rsidRPr="00CC1107" w:rsidRDefault="00781DA5" w:rsidP="002E35EB">
            <w:pPr>
              <w:spacing w:line="259" w:lineRule="auto"/>
            </w:pPr>
            <w:r w:rsidRPr="00CC1107">
              <w:rPr>
                <w:color w:val="000000"/>
              </w:rPr>
              <w:t xml:space="preserve">BARTOLOMEO </w:t>
            </w:r>
          </w:p>
        </w:tc>
        <w:tc>
          <w:tcPr>
            <w:tcW w:w="1081" w:type="dxa"/>
            <w:tcBorders>
              <w:top w:val="single" w:sz="4" w:space="0" w:color="000000"/>
              <w:left w:val="single" w:sz="8" w:space="0" w:color="000000"/>
              <w:bottom w:val="single" w:sz="8" w:space="0" w:color="000000"/>
              <w:right w:val="single" w:sz="8" w:space="0" w:color="000000"/>
            </w:tcBorders>
            <w:shd w:val="clear" w:color="auto" w:fill="auto"/>
          </w:tcPr>
          <w:p w14:paraId="6B157F0E" w14:textId="77777777" w:rsidR="00781DA5" w:rsidRPr="00CC1107" w:rsidRDefault="00781DA5" w:rsidP="002E35EB">
            <w:pPr>
              <w:spacing w:line="259" w:lineRule="auto"/>
              <w:rPr>
                <w:b/>
                <w:bCs/>
              </w:rPr>
            </w:pPr>
          </w:p>
        </w:tc>
        <w:tc>
          <w:tcPr>
            <w:tcW w:w="1260" w:type="dxa"/>
            <w:tcBorders>
              <w:top w:val="single" w:sz="4" w:space="0" w:color="000000"/>
              <w:left w:val="single" w:sz="8" w:space="0" w:color="000000"/>
              <w:bottom w:val="single" w:sz="8" w:space="0" w:color="000000"/>
              <w:right w:val="single" w:sz="8" w:space="0" w:color="000000"/>
            </w:tcBorders>
            <w:shd w:val="clear" w:color="auto" w:fill="auto"/>
          </w:tcPr>
          <w:p w14:paraId="32B82AD5" w14:textId="77777777" w:rsidR="00781DA5" w:rsidRPr="00CC1107" w:rsidRDefault="00781DA5" w:rsidP="002E35EB">
            <w:pPr>
              <w:spacing w:line="259" w:lineRule="auto"/>
              <w:rPr>
                <w:b/>
                <w:bCs/>
              </w:rPr>
            </w:pPr>
          </w:p>
        </w:tc>
        <w:tc>
          <w:tcPr>
            <w:tcW w:w="989" w:type="dxa"/>
            <w:tcBorders>
              <w:top w:val="single" w:sz="4" w:space="0" w:color="000000"/>
              <w:left w:val="single" w:sz="8" w:space="0" w:color="000000"/>
              <w:bottom w:val="single" w:sz="4" w:space="0" w:color="000000"/>
              <w:right w:val="single" w:sz="4" w:space="0" w:color="000000"/>
            </w:tcBorders>
            <w:shd w:val="clear" w:color="auto" w:fill="auto"/>
          </w:tcPr>
          <w:p w14:paraId="5E4FF2D6" w14:textId="77777777" w:rsidR="00781DA5" w:rsidRPr="00CC1107" w:rsidRDefault="00781DA5" w:rsidP="002E35EB">
            <w:pPr>
              <w:spacing w:line="259" w:lineRule="auto"/>
              <w:rPr>
                <w:b/>
                <w:bCs/>
              </w:rPr>
            </w:pPr>
          </w:p>
        </w:tc>
        <w:tc>
          <w:tcPr>
            <w:tcW w:w="1080" w:type="dxa"/>
            <w:tcBorders>
              <w:top w:val="single" w:sz="4" w:space="0" w:color="000000"/>
              <w:left w:val="single" w:sz="4" w:space="0" w:color="000000"/>
              <w:bottom w:val="single" w:sz="4" w:space="0" w:color="000000"/>
              <w:right w:val="single" w:sz="8" w:space="0" w:color="000000"/>
            </w:tcBorders>
            <w:shd w:val="clear" w:color="auto" w:fill="auto"/>
          </w:tcPr>
          <w:p w14:paraId="3C23E431" w14:textId="77777777" w:rsidR="00781DA5" w:rsidRPr="00CC1107" w:rsidRDefault="00781DA5" w:rsidP="002E35EB">
            <w:pPr>
              <w:spacing w:line="259" w:lineRule="auto"/>
              <w:ind w:left="2"/>
              <w:rPr>
                <w:b/>
                <w:bCs/>
              </w:rPr>
            </w:pPr>
          </w:p>
        </w:tc>
        <w:tc>
          <w:tcPr>
            <w:tcW w:w="1620" w:type="dxa"/>
            <w:tcBorders>
              <w:top w:val="single" w:sz="4" w:space="0" w:color="000000"/>
              <w:left w:val="single" w:sz="8" w:space="0" w:color="000000"/>
              <w:bottom w:val="single" w:sz="8" w:space="0" w:color="000000"/>
              <w:right w:val="single" w:sz="8" w:space="0" w:color="000000"/>
            </w:tcBorders>
            <w:shd w:val="clear" w:color="auto" w:fill="auto"/>
          </w:tcPr>
          <w:p w14:paraId="47F60D95" w14:textId="77777777" w:rsidR="00781DA5" w:rsidRPr="00CC1107" w:rsidRDefault="00781DA5" w:rsidP="002E35EB">
            <w:pPr>
              <w:spacing w:line="259" w:lineRule="auto"/>
              <w:ind w:left="2"/>
              <w:rPr>
                <w:b/>
                <w:bCs/>
              </w:rPr>
            </w:pPr>
          </w:p>
        </w:tc>
        <w:tc>
          <w:tcPr>
            <w:tcW w:w="1532" w:type="dxa"/>
            <w:tcBorders>
              <w:top w:val="single" w:sz="4" w:space="0" w:color="000000"/>
              <w:left w:val="single" w:sz="8" w:space="0" w:color="000000"/>
              <w:bottom w:val="single" w:sz="8" w:space="0" w:color="000000"/>
              <w:right w:val="single" w:sz="8" w:space="0" w:color="000000"/>
            </w:tcBorders>
            <w:shd w:val="clear" w:color="auto" w:fill="auto"/>
          </w:tcPr>
          <w:p w14:paraId="4573E88B" w14:textId="77777777" w:rsidR="00781DA5" w:rsidRPr="00CC1107" w:rsidRDefault="00781DA5" w:rsidP="002E35EB">
            <w:pPr>
              <w:spacing w:line="259" w:lineRule="auto"/>
              <w:ind w:left="2"/>
              <w:rPr>
                <w:b/>
                <w:bCs/>
              </w:rPr>
            </w:pPr>
          </w:p>
        </w:tc>
      </w:tr>
      <w:tr w:rsidR="00781DA5" w:rsidRPr="00A72E1C" w14:paraId="72CCA8CF" w14:textId="77777777" w:rsidTr="002E35EB">
        <w:trPr>
          <w:trHeight w:val="373"/>
        </w:trPr>
        <w:tc>
          <w:tcPr>
            <w:tcW w:w="1985" w:type="dxa"/>
            <w:tcBorders>
              <w:top w:val="single" w:sz="8" w:space="0" w:color="000000"/>
              <w:left w:val="single" w:sz="8" w:space="0" w:color="000000"/>
              <w:bottom w:val="single" w:sz="8" w:space="0" w:color="000000"/>
              <w:right w:val="single" w:sz="8" w:space="0" w:color="000000"/>
            </w:tcBorders>
            <w:shd w:val="clear" w:color="auto" w:fill="auto"/>
          </w:tcPr>
          <w:p w14:paraId="2628AD4C" w14:textId="77777777" w:rsidR="00781DA5" w:rsidRPr="00CC1107" w:rsidRDefault="00781DA5" w:rsidP="002E35EB">
            <w:pPr>
              <w:spacing w:line="259" w:lineRule="auto"/>
            </w:pPr>
            <w:r w:rsidRPr="00CC1107">
              <w:rPr>
                <w:color w:val="000000"/>
              </w:rPr>
              <w:t xml:space="preserve">MAYOR </w:t>
            </w:r>
          </w:p>
        </w:tc>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018D12B5" w14:textId="77777777" w:rsidR="00781DA5" w:rsidRPr="00CC1107" w:rsidRDefault="00781DA5" w:rsidP="002E35EB">
            <w:pPr>
              <w:spacing w:line="259" w:lineRule="auto"/>
            </w:pPr>
            <w:r w:rsidRPr="00CC1107">
              <w:rPr>
                <w:color w:val="000000"/>
              </w:rPr>
              <w:t xml:space="preserve">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14:paraId="1C1351EB" w14:textId="77777777" w:rsidR="00781DA5" w:rsidRPr="00CC1107" w:rsidRDefault="00781DA5" w:rsidP="002E35EB">
            <w:pPr>
              <w:spacing w:line="259" w:lineRule="auto"/>
            </w:pPr>
            <w:r w:rsidRPr="00CC1107">
              <w:rPr>
                <w:color w:val="000000"/>
              </w:rPr>
              <w:t xml:space="preserve"> </w:t>
            </w:r>
          </w:p>
        </w:tc>
        <w:tc>
          <w:tcPr>
            <w:tcW w:w="989" w:type="dxa"/>
            <w:tcBorders>
              <w:top w:val="single" w:sz="4" w:space="0" w:color="000000"/>
              <w:left w:val="single" w:sz="8" w:space="0" w:color="000000"/>
              <w:bottom w:val="single" w:sz="8" w:space="0" w:color="000000"/>
              <w:right w:val="single" w:sz="4" w:space="0" w:color="000000"/>
            </w:tcBorders>
            <w:shd w:val="clear" w:color="auto" w:fill="auto"/>
          </w:tcPr>
          <w:p w14:paraId="2C3A65A3" w14:textId="77777777" w:rsidR="00781DA5" w:rsidRPr="00CC1107" w:rsidRDefault="00781DA5" w:rsidP="002E35EB">
            <w:pPr>
              <w:spacing w:line="259" w:lineRule="auto"/>
            </w:pPr>
            <w:r w:rsidRPr="00CC1107">
              <w:rPr>
                <w:color w:val="000000"/>
              </w:rPr>
              <w:t xml:space="preserve"> </w:t>
            </w:r>
          </w:p>
        </w:tc>
        <w:tc>
          <w:tcPr>
            <w:tcW w:w="1080" w:type="dxa"/>
            <w:tcBorders>
              <w:top w:val="single" w:sz="4" w:space="0" w:color="000000"/>
              <w:left w:val="single" w:sz="4" w:space="0" w:color="000000"/>
              <w:bottom w:val="single" w:sz="8" w:space="0" w:color="000000"/>
              <w:right w:val="single" w:sz="8" w:space="0" w:color="000000"/>
            </w:tcBorders>
            <w:shd w:val="clear" w:color="auto" w:fill="auto"/>
          </w:tcPr>
          <w:p w14:paraId="5759E535" w14:textId="77777777" w:rsidR="00781DA5" w:rsidRPr="00CC1107" w:rsidRDefault="00781DA5" w:rsidP="002E35EB">
            <w:pPr>
              <w:spacing w:line="259" w:lineRule="auto"/>
              <w:ind w:left="2"/>
            </w:pPr>
            <w:r w:rsidRPr="00CC1107">
              <w:rPr>
                <w:color w:val="00000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14:paraId="2EBB1349" w14:textId="77777777" w:rsidR="00781DA5" w:rsidRPr="00CC1107" w:rsidRDefault="00781DA5" w:rsidP="002E35EB">
            <w:pPr>
              <w:spacing w:line="259" w:lineRule="auto"/>
              <w:ind w:left="2"/>
            </w:pPr>
            <w:r w:rsidRPr="00CC1107">
              <w:rPr>
                <w:color w:val="000000"/>
              </w:rPr>
              <w:t xml:space="preserve"> </w:t>
            </w:r>
          </w:p>
        </w:tc>
        <w:tc>
          <w:tcPr>
            <w:tcW w:w="1532" w:type="dxa"/>
            <w:tcBorders>
              <w:top w:val="single" w:sz="8" w:space="0" w:color="000000"/>
              <w:left w:val="single" w:sz="8" w:space="0" w:color="000000"/>
              <w:bottom w:val="single" w:sz="8" w:space="0" w:color="000000"/>
              <w:right w:val="single" w:sz="8" w:space="0" w:color="000000"/>
            </w:tcBorders>
            <w:shd w:val="clear" w:color="auto" w:fill="auto"/>
          </w:tcPr>
          <w:p w14:paraId="59DF9E67" w14:textId="77777777" w:rsidR="00781DA5" w:rsidRPr="00CC1107" w:rsidRDefault="00781DA5" w:rsidP="002E35EB">
            <w:pPr>
              <w:spacing w:line="259" w:lineRule="auto"/>
              <w:ind w:left="2"/>
            </w:pPr>
            <w:r w:rsidRPr="00CC1107">
              <w:rPr>
                <w:color w:val="000000"/>
              </w:rPr>
              <w:t xml:space="preserve"> </w:t>
            </w:r>
          </w:p>
        </w:tc>
      </w:tr>
    </w:tbl>
    <w:p w14:paraId="19F95EC4" w14:textId="77777777" w:rsidR="00576306" w:rsidRDefault="00576306">
      <w:pPr>
        <w:rPr>
          <w:rFonts w:ascii="Times New Roman" w:hAnsi="Times New Roman" w:cs="Times New Roman"/>
        </w:rPr>
      </w:pPr>
    </w:p>
    <w:p w14:paraId="6616E23F" w14:textId="77777777" w:rsidR="00781DA5" w:rsidRDefault="00781DA5">
      <w:pPr>
        <w:rPr>
          <w:rFonts w:ascii="Times New Roman" w:hAnsi="Times New Roman" w:cs="Times New Roman"/>
        </w:rPr>
      </w:pPr>
    </w:p>
    <w:p w14:paraId="6E6AAA15" w14:textId="77777777" w:rsidR="00781DA5" w:rsidRDefault="00781DA5">
      <w:pPr>
        <w:rPr>
          <w:rFonts w:ascii="Times New Roman" w:hAnsi="Times New Roman" w:cs="Times New Roman"/>
        </w:rPr>
      </w:pPr>
    </w:p>
    <w:p w14:paraId="19824DE4" w14:textId="77777777" w:rsidR="00781DA5" w:rsidRDefault="00781DA5">
      <w:pPr>
        <w:rPr>
          <w:rFonts w:ascii="Times New Roman" w:hAnsi="Times New Roman" w:cs="Times New Roman"/>
        </w:rPr>
      </w:pPr>
    </w:p>
    <w:p w14:paraId="20511972" w14:textId="77777777" w:rsidR="00781DA5" w:rsidRDefault="00781DA5">
      <w:pPr>
        <w:rPr>
          <w:rFonts w:ascii="Times New Roman" w:hAnsi="Times New Roman" w:cs="Times New Roman"/>
        </w:rPr>
      </w:pPr>
    </w:p>
    <w:p w14:paraId="496487E2" w14:textId="77777777" w:rsidR="00781DA5" w:rsidRDefault="00781DA5">
      <w:pPr>
        <w:rPr>
          <w:rFonts w:ascii="Times New Roman" w:hAnsi="Times New Roman" w:cs="Times New Roman"/>
        </w:rPr>
      </w:pPr>
    </w:p>
    <w:p w14:paraId="7D286F7C" w14:textId="77777777" w:rsidR="00781DA5" w:rsidRDefault="00781DA5">
      <w:pPr>
        <w:rPr>
          <w:rFonts w:ascii="Times New Roman" w:hAnsi="Times New Roman" w:cs="Times New Roman"/>
        </w:rPr>
      </w:pPr>
    </w:p>
    <w:p w14:paraId="1323AAA9" w14:textId="77777777" w:rsidR="00781DA5" w:rsidRDefault="00781DA5">
      <w:pPr>
        <w:rPr>
          <w:rFonts w:ascii="Times New Roman" w:hAnsi="Times New Roman" w:cs="Times New Roman"/>
        </w:rPr>
      </w:pPr>
    </w:p>
    <w:p w14:paraId="507E6C80" w14:textId="77777777" w:rsidR="00781DA5" w:rsidRDefault="00781DA5">
      <w:pPr>
        <w:rPr>
          <w:rFonts w:ascii="Times New Roman" w:hAnsi="Times New Roman" w:cs="Times New Roman"/>
        </w:rPr>
      </w:pPr>
    </w:p>
    <w:p w14:paraId="5358F5DF" w14:textId="77777777" w:rsidR="00781DA5" w:rsidRDefault="00781DA5">
      <w:pPr>
        <w:rPr>
          <w:rFonts w:ascii="Times New Roman" w:hAnsi="Times New Roman" w:cs="Times New Roman"/>
        </w:rPr>
      </w:pPr>
    </w:p>
    <w:p w14:paraId="5AC7ABCF" w14:textId="5AC0604D" w:rsidR="00576306" w:rsidRDefault="00576306">
      <w:pPr>
        <w:rPr>
          <w:rFonts w:ascii="Times New Roman" w:hAnsi="Times New Roman" w:cs="Times New Roman"/>
        </w:rPr>
      </w:pPr>
      <w:r>
        <w:rPr>
          <w:rFonts w:ascii="Times New Roman" w:hAnsi="Times New Roman" w:cs="Times New Roman"/>
        </w:rPr>
        <w:t xml:space="preserve">I hereby certify that the above Ordinance was adopted by the Governing Body on </w:t>
      </w:r>
      <w:r w:rsidR="00781DA5">
        <w:rPr>
          <w:rFonts w:ascii="Times New Roman" w:hAnsi="Times New Roman" w:cs="Times New Roman"/>
        </w:rPr>
        <w:t>May 19, 2025</w:t>
      </w:r>
      <w:r>
        <w:rPr>
          <w:rFonts w:ascii="Times New Roman" w:hAnsi="Times New Roman" w:cs="Times New Roman"/>
        </w:rPr>
        <w:t>.</w:t>
      </w:r>
    </w:p>
    <w:p w14:paraId="6152CC1C" w14:textId="77777777" w:rsidR="00B1459C" w:rsidRDefault="00B1459C">
      <w:pPr>
        <w:rPr>
          <w:rFonts w:ascii="Times New Roman" w:hAnsi="Times New Roman" w:cs="Times New Roman"/>
        </w:rPr>
      </w:pPr>
    </w:p>
    <w:p w14:paraId="385F78D9" w14:textId="77777777" w:rsidR="00B1459C" w:rsidRDefault="00B1459C">
      <w:pPr>
        <w:rPr>
          <w:rFonts w:ascii="Times New Roman" w:hAnsi="Times New Roman" w:cs="Times New Roman"/>
        </w:rPr>
      </w:pPr>
    </w:p>
    <w:p w14:paraId="79F29AE2" w14:textId="134D4844" w:rsidR="00B1459C" w:rsidRDefault="00B1459C">
      <w:pPr>
        <w:rPr>
          <w:rFonts w:ascii="Times New Roman" w:hAnsi="Times New Roman" w:cs="Times New Roman"/>
        </w:rPr>
      </w:pPr>
      <w:r>
        <w:rPr>
          <w:rFonts w:ascii="Times New Roman" w:hAnsi="Times New Roman" w:cs="Times New Roman"/>
        </w:rPr>
        <w:t>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w:t>
      </w:r>
    </w:p>
    <w:p w14:paraId="4770CE1B" w14:textId="58BFFF9D" w:rsidR="00B1459C" w:rsidRPr="00204E88" w:rsidRDefault="00781DA5">
      <w:pPr>
        <w:rPr>
          <w:rFonts w:ascii="Times New Roman" w:hAnsi="Times New Roman" w:cs="Times New Roman"/>
        </w:rPr>
      </w:pPr>
      <w:r>
        <w:rPr>
          <w:rFonts w:ascii="Times New Roman" w:hAnsi="Times New Roman" w:cs="Times New Roman"/>
        </w:rPr>
        <w:t>Stephanie Evans, Borough Clerk</w:t>
      </w:r>
      <w:r>
        <w:rPr>
          <w:rFonts w:ascii="Times New Roman" w:hAnsi="Times New Roman" w:cs="Times New Roman"/>
        </w:rPr>
        <w:tab/>
      </w:r>
      <w:r w:rsidR="00B1459C">
        <w:rPr>
          <w:rFonts w:ascii="Times New Roman" w:hAnsi="Times New Roman" w:cs="Times New Roman"/>
        </w:rPr>
        <w:tab/>
      </w:r>
      <w:r w:rsidR="00B1459C">
        <w:rPr>
          <w:rFonts w:ascii="Times New Roman" w:hAnsi="Times New Roman" w:cs="Times New Roman"/>
        </w:rPr>
        <w:tab/>
        <w:t>Michael McPartland, Mayor</w:t>
      </w:r>
    </w:p>
    <w:sectPr w:rsidR="00B1459C" w:rsidRPr="00204E88" w:rsidSect="00781DA5">
      <w:footerReference w:type="default" r:id="rId7"/>
      <w:pgSz w:w="12240" w:h="20160" w:code="5"/>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27B1" w14:textId="77777777" w:rsidR="00781DA5" w:rsidRDefault="00781DA5" w:rsidP="00781DA5">
      <w:r>
        <w:separator/>
      </w:r>
    </w:p>
  </w:endnote>
  <w:endnote w:type="continuationSeparator" w:id="0">
    <w:p w14:paraId="2058CF4D" w14:textId="77777777" w:rsidR="00781DA5" w:rsidRDefault="00781DA5" w:rsidP="0078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366945"/>
      <w:docPartObj>
        <w:docPartGallery w:val="Page Numbers (Bottom of Page)"/>
        <w:docPartUnique/>
      </w:docPartObj>
    </w:sdtPr>
    <w:sdtEndPr/>
    <w:sdtContent>
      <w:sdt>
        <w:sdtPr>
          <w:id w:val="-1769616900"/>
          <w:docPartObj>
            <w:docPartGallery w:val="Page Numbers (Top of Page)"/>
            <w:docPartUnique/>
          </w:docPartObj>
        </w:sdtPr>
        <w:sdtEndPr/>
        <w:sdtContent>
          <w:p w14:paraId="42827B6F" w14:textId="2DCD56F1" w:rsidR="00781DA5" w:rsidRDefault="00781DA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A6611EF" w14:textId="77777777" w:rsidR="00781DA5" w:rsidRDefault="00781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3E46" w14:textId="77777777" w:rsidR="00781DA5" w:rsidRDefault="00781DA5" w:rsidP="00781DA5">
      <w:r>
        <w:separator/>
      </w:r>
    </w:p>
  </w:footnote>
  <w:footnote w:type="continuationSeparator" w:id="0">
    <w:p w14:paraId="162FF93B" w14:textId="77777777" w:rsidR="00781DA5" w:rsidRDefault="00781DA5" w:rsidP="00781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17597"/>
    <w:multiLevelType w:val="hybridMultilevel"/>
    <w:tmpl w:val="3F646CF6"/>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4B7F7D"/>
    <w:multiLevelType w:val="hybridMultilevel"/>
    <w:tmpl w:val="F808036C"/>
    <w:lvl w:ilvl="0" w:tplc="BA7476EE">
      <w:start w:val="4"/>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65320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74394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88"/>
    <w:rsid w:val="00204E88"/>
    <w:rsid w:val="002823F2"/>
    <w:rsid w:val="00527FAD"/>
    <w:rsid w:val="00576306"/>
    <w:rsid w:val="00781DA5"/>
    <w:rsid w:val="00A03D52"/>
    <w:rsid w:val="00B1459C"/>
    <w:rsid w:val="00D72112"/>
    <w:rsid w:val="00D8566C"/>
    <w:rsid w:val="00E71FDF"/>
    <w:rsid w:val="00EE4ED1"/>
    <w:rsid w:val="00FB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8790"/>
  <w15:chartTrackingRefBased/>
  <w15:docId w15:val="{6279AA02-F424-409F-BEF3-D00F5A7D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06"/>
    <w:pPr>
      <w:autoSpaceDE w:val="0"/>
      <w:autoSpaceDN w:val="0"/>
      <w:spacing w:after="0" w:line="240" w:lineRule="auto"/>
    </w:pPr>
    <w:rPr>
      <w:rFonts w:ascii="Baskerville Old Face" w:hAnsi="Baskerville Old Face"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306"/>
    <w:pPr>
      <w:autoSpaceDE/>
      <w:autoSpaceDN/>
      <w:ind w:left="720"/>
    </w:pPr>
    <w:rPr>
      <w:rFonts w:ascii="Calibri" w:hAnsi="Calibri"/>
      <w:sz w:val="22"/>
      <w:szCs w:val="22"/>
    </w:rPr>
  </w:style>
  <w:style w:type="paragraph" w:styleId="Header">
    <w:name w:val="header"/>
    <w:basedOn w:val="Normal"/>
    <w:link w:val="HeaderChar"/>
    <w:uiPriority w:val="99"/>
    <w:unhideWhenUsed/>
    <w:rsid w:val="00781DA5"/>
    <w:pPr>
      <w:tabs>
        <w:tab w:val="center" w:pos="4680"/>
        <w:tab w:val="right" w:pos="9360"/>
      </w:tabs>
    </w:pPr>
  </w:style>
  <w:style w:type="character" w:customStyle="1" w:styleId="HeaderChar">
    <w:name w:val="Header Char"/>
    <w:basedOn w:val="DefaultParagraphFont"/>
    <w:link w:val="Header"/>
    <w:uiPriority w:val="99"/>
    <w:rsid w:val="00781DA5"/>
    <w:rPr>
      <w:rFonts w:ascii="Baskerville Old Face" w:hAnsi="Baskerville Old Face" w:cs="Calibri"/>
      <w:kern w:val="0"/>
      <w:sz w:val="24"/>
      <w:szCs w:val="24"/>
      <w14:ligatures w14:val="none"/>
    </w:rPr>
  </w:style>
  <w:style w:type="paragraph" w:styleId="Footer">
    <w:name w:val="footer"/>
    <w:basedOn w:val="Normal"/>
    <w:link w:val="FooterChar"/>
    <w:uiPriority w:val="99"/>
    <w:unhideWhenUsed/>
    <w:rsid w:val="00781DA5"/>
    <w:pPr>
      <w:tabs>
        <w:tab w:val="center" w:pos="4680"/>
        <w:tab w:val="right" w:pos="9360"/>
      </w:tabs>
    </w:pPr>
  </w:style>
  <w:style w:type="character" w:customStyle="1" w:styleId="FooterChar">
    <w:name w:val="Footer Char"/>
    <w:basedOn w:val="DefaultParagraphFont"/>
    <w:link w:val="Footer"/>
    <w:uiPriority w:val="99"/>
    <w:rsid w:val="00781DA5"/>
    <w:rPr>
      <w:rFonts w:ascii="Baskerville Old Face" w:hAnsi="Baskerville Old Face"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Evans</dc:creator>
  <cp:keywords/>
  <dc:description/>
  <cp:lastModifiedBy>Stephanie Evans</cp:lastModifiedBy>
  <cp:revision>3</cp:revision>
  <cp:lastPrinted>2025-05-02T16:25:00Z</cp:lastPrinted>
  <dcterms:created xsi:type="dcterms:W3CDTF">2025-05-01T14:46:00Z</dcterms:created>
  <dcterms:modified xsi:type="dcterms:W3CDTF">2025-05-02T16:25:00Z</dcterms:modified>
</cp:coreProperties>
</file>