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25F5B687" w:rsidR="00251490" w:rsidRPr="00251490" w:rsidRDefault="00D909FE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12</w:t>
            </w:r>
            <w:r w:rsidR="00251490" w:rsidRPr="00251490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20180C3B" w:rsidR="00251490" w:rsidRPr="00251490" w:rsidRDefault="00411653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909FE">
              <w:rPr>
                <w:sz w:val="20"/>
                <w:szCs w:val="20"/>
              </w:rPr>
              <w:t>4</w:t>
            </w:r>
            <w:r w:rsidR="00D008F4">
              <w:rPr>
                <w:sz w:val="20"/>
                <w:szCs w:val="20"/>
              </w:rPr>
              <w:t>-283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2636F97" w14:textId="77777777" w:rsidR="00126669" w:rsidRDefault="00126669" w:rsidP="00411653">
      <w:pPr>
        <w:pStyle w:val="NoSpacing"/>
        <w:jc w:val="center"/>
        <w:rPr>
          <w:b/>
        </w:rPr>
      </w:pPr>
    </w:p>
    <w:p w14:paraId="61AD4375" w14:textId="4965D32E" w:rsidR="00411653" w:rsidRDefault="004469C8" w:rsidP="00411653">
      <w:pPr>
        <w:pStyle w:val="NoSpacing"/>
        <w:jc w:val="center"/>
        <w:rPr>
          <w:b/>
        </w:rPr>
      </w:pPr>
      <w:r>
        <w:rPr>
          <w:b/>
        </w:rPr>
        <w:t>Resolution Authorizing the Filling, Leveling, and Grading of 115 River Road Block 95, Lot 1, Block 96, Lot 3.03, Block 91, Lot 3 and Lot 1</w:t>
      </w:r>
    </w:p>
    <w:p w14:paraId="1207A16F" w14:textId="77777777" w:rsidR="00411653" w:rsidRDefault="00411653" w:rsidP="00411653">
      <w:pPr>
        <w:pStyle w:val="NoSpacing"/>
        <w:rPr>
          <w:b/>
        </w:rPr>
      </w:pPr>
    </w:p>
    <w:p w14:paraId="2F7EAFAD" w14:textId="01BF24C7" w:rsidR="00411653" w:rsidRPr="004469C8" w:rsidRDefault="00411653" w:rsidP="004469C8">
      <w:pPr>
        <w:pStyle w:val="NoSpacing"/>
        <w:rPr>
          <w:bCs/>
        </w:rPr>
      </w:pPr>
      <w:r w:rsidRPr="006A711A">
        <w:rPr>
          <w:b/>
        </w:rPr>
        <w:t xml:space="preserve">WHEREAS, </w:t>
      </w:r>
      <w:r w:rsidR="004469C8">
        <w:t xml:space="preserve">Hudson Edgewater Associates, LLC of 125 River Road, Suite 301, Edgewater New Jersey 07020 owners of </w:t>
      </w:r>
      <w:r w:rsidR="004469C8" w:rsidRPr="004469C8">
        <w:rPr>
          <w:bCs/>
        </w:rPr>
        <w:t>115 River Road Block 95, Lot 1, Block 96, Lot 3.03, Block 91, Lot 3 and Lot 1</w:t>
      </w:r>
      <w:r w:rsidR="004469C8">
        <w:t xml:space="preserve"> has requested a permit for the filling, leveling, and grading of referenced property; and</w:t>
      </w:r>
    </w:p>
    <w:p w14:paraId="2A2639FE" w14:textId="77777777" w:rsidR="00411653" w:rsidRPr="006A711A" w:rsidRDefault="00411653" w:rsidP="00411653">
      <w:pPr>
        <w:pStyle w:val="NoSpacing"/>
      </w:pPr>
    </w:p>
    <w:p w14:paraId="178B9D51" w14:textId="2DF3A8AE" w:rsidR="00411653" w:rsidRPr="006A711A" w:rsidRDefault="00411653" w:rsidP="00411653">
      <w:pPr>
        <w:pStyle w:val="NoSpacing"/>
      </w:pPr>
      <w:r w:rsidRPr="006A711A">
        <w:rPr>
          <w:b/>
        </w:rPr>
        <w:t xml:space="preserve">WHEREAS, </w:t>
      </w:r>
      <w:r w:rsidR="004469C8">
        <w:t>as per Chapter 235</w:t>
      </w:r>
      <w:r w:rsidR="00D80DB4">
        <w:t>-3</w:t>
      </w:r>
      <w:r w:rsidR="004469C8">
        <w:t xml:space="preserve"> of the Borough of Edgewater Code, an application for a permit is to be made to the Edgewater Mayor and Council</w:t>
      </w:r>
      <w:r w:rsidR="00D80DB4">
        <w:t xml:space="preserve"> for Landfill Operations of filling, leveling, and grading of properties within the Borough of Edgewater</w:t>
      </w:r>
      <w:r w:rsidR="00D909FE">
        <w:t xml:space="preserve">; </w:t>
      </w:r>
      <w:r w:rsidRPr="006A711A">
        <w:t>and</w:t>
      </w:r>
    </w:p>
    <w:p w14:paraId="621EF04F" w14:textId="77777777" w:rsidR="00411653" w:rsidRPr="006A711A" w:rsidRDefault="00411653" w:rsidP="00411653">
      <w:pPr>
        <w:pStyle w:val="NoSpacing"/>
      </w:pPr>
    </w:p>
    <w:p w14:paraId="57F5F644" w14:textId="4EEC84BE" w:rsidR="00411653" w:rsidRDefault="00411653" w:rsidP="00411653">
      <w:pPr>
        <w:pStyle w:val="NoSpacing"/>
      </w:pPr>
      <w:r w:rsidRPr="006A711A">
        <w:rPr>
          <w:b/>
        </w:rPr>
        <w:t xml:space="preserve">WHEREAS, </w:t>
      </w:r>
      <w:r w:rsidR="00D80DB4">
        <w:t>an application for referenced activities dated November 5 has been submitted to the Edgewater Mayor and Council; and</w:t>
      </w:r>
    </w:p>
    <w:p w14:paraId="2D14177E" w14:textId="77777777" w:rsidR="00D80DB4" w:rsidRDefault="00D80DB4" w:rsidP="00411653">
      <w:pPr>
        <w:pStyle w:val="NoSpacing"/>
      </w:pPr>
    </w:p>
    <w:p w14:paraId="0BFAF00F" w14:textId="00C84964" w:rsidR="00D80DB4" w:rsidRPr="00D80DB4" w:rsidRDefault="00D80DB4" w:rsidP="00411653">
      <w:pPr>
        <w:pStyle w:val="NoSpacing"/>
      </w:pPr>
      <w:r>
        <w:rPr>
          <w:b/>
          <w:bCs/>
        </w:rPr>
        <w:t xml:space="preserve">WHEREAS, </w:t>
      </w:r>
      <w:r>
        <w:t xml:space="preserve">Hudson Edgewater Associates, LLC of 125 River Road, Suite 301, Edgewater New Jersey 07020 owners of </w:t>
      </w:r>
      <w:r w:rsidRPr="004469C8">
        <w:rPr>
          <w:bCs/>
        </w:rPr>
        <w:t>115 River Road Block 95, Lot 1, Block 96, Lot 3.03, Block 91, Lot 3 and Lot 1</w:t>
      </w:r>
      <w:r>
        <w:rPr>
          <w:bCs/>
        </w:rPr>
        <w:t xml:space="preserve"> has the required Bergen County soil, erosion, and sediment permit, an AG3 New Jersey Department of Environmental Protection Discharge Permit, and a New Jersey Department of Environmental Protection Air Pollution Permit.</w:t>
      </w:r>
    </w:p>
    <w:p w14:paraId="11F57A4E" w14:textId="77777777" w:rsidR="00411653" w:rsidRPr="006A711A" w:rsidRDefault="00411653" w:rsidP="00411653">
      <w:pPr>
        <w:pStyle w:val="NoSpacing"/>
      </w:pPr>
    </w:p>
    <w:p w14:paraId="1161AF85" w14:textId="2A0283BF" w:rsidR="00411653" w:rsidRPr="006A711A" w:rsidRDefault="00411653" w:rsidP="00411653">
      <w:pPr>
        <w:pStyle w:val="NoSpacing"/>
      </w:pPr>
      <w:r w:rsidRPr="006A711A">
        <w:rPr>
          <w:b/>
        </w:rPr>
        <w:t>NOW</w:t>
      </w:r>
      <w:r w:rsidR="00D909FE">
        <w:rPr>
          <w:b/>
        </w:rPr>
        <w:t>,</w:t>
      </w:r>
      <w:r w:rsidRPr="006A711A">
        <w:rPr>
          <w:b/>
        </w:rPr>
        <w:t xml:space="preserve"> THEREFORE</w:t>
      </w:r>
      <w:r w:rsidR="00D909FE">
        <w:rPr>
          <w:b/>
        </w:rPr>
        <w:t>,</w:t>
      </w:r>
      <w:r w:rsidRPr="006A711A">
        <w:rPr>
          <w:b/>
        </w:rPr>
        <w:t xml:space="preserve"> BE IT RESOLVED, </w:t>
      </w:r>
      <w:r w:rsidRPr="006A711A">
        <w:t xml:space="preserve">by the Borough of Edgewater Mayor and Council that it hereby authorizes and approves </w:t>
      </w:r>
      <w:r w:rsidR="00D80DB4">
        <w:t xml:space="preserve">a Filling, Leveling, and Grading permit as per Chapter 235 of the Borough Code for </w:t>
      </w:r>
      <w:r w:rsidR="00D80DB4" w:rsidRPr="004469C8">
        <w:rPr>
          <w:bCs/>
        </w:rPr>
        <w:t>Block 95, Lot 1, Block 96, Lot 3.03, Block 91, Lot 3 and Lot 1</w:t>
      </w:r>
      <w:r w:rsidR="00D80DB4">
        <w:rPr>
          <w:bCs/>
        </w:rPr>
        <w:t>.</w:t>
      </w:r>
    </w:p>
    <w:p w14:paraId="35E6CEEE" w14:textId="77777777" w:rsidR="00126669" w:rsidRDefault="00126669" w:rsidP="00411653">
      <w:pPr>
        <w:pStyle w:val="NoSpacing"/>
      </w:pPr>
    </w:p>
    <w:p w14:paraId="25DC1E5F" w14:textId="1BBCD291" w:rsidR="00411653" w:rsidRDefault="00411653" w:rsidP="00411653">
      <w:pPr>
        <w:pStyle w:val="NoSpacing"/>
      </w:pPr>
      <w:r w:rsidRPr="006A711A">
        <w:rPr>
          <w:b/>
        </w:rPr>
        <w:lastRenderedPageBreak/>
        <w:t xml:space="preserve">BE IT FURTHER RESOLVED, </w:t>
      </w:r>
      <w:r w:rsidRPr="006A711A">
        <w:t>that sai</w:t>
      </w:r>
      <w:r w:rsidR="00D80DB4">
        <w:t>d approval shall be for a period of six (6) months with the opportunity for a six (6) month extension if requested by the applicant.</w:t>
      </w:r>
    </w:p>
    <w:p w14:paraId="152AF796" w14:textId="77777777" w:rsidR="00126669" w:rsidRDefault="00126669" w:rsidP="00411653">
      <w:pPr>
        <w:pStyle w:val="NoSpacing"/>
      </w:pPr>
    </w:p>
    <w:p w14:paraId="512E3336" w14:textId="55727F52" w:rsidR="00126669" w:rsidRPr="00126669" w:rsidRDefault="00126669" w:rsidP="00411653">
      <w:pPr>
        <w:pStyle w:val="NoSpacing"/>
      </w:pPr>
      <w:r>
        <w:rPr>
          <w:b/>
          <w:bCs/>
        </w:rPr>
        <w:t xml:space="preserve">BE IT FURTHER RESOLVED, </w:t>
      </w:r>
      <w:r>
        <w:t xml:space="preserve">the application and all documents associated with this permit shall be kept on file with the </w:t>
      </w:r>
      <w:r w:rsidR="00BC7BED">
        <w:t>Construction Official of the Edgewater Building Department and who shall monitor the project and provide the Mayor and Council with periodic progress reports.</w:t>
      </w:r>
    </w:p>
    <w:p w14:paraId="430BD78E" w14:textId="77777777" w:rsidR="00D80DB4" w:rsidRDefault="00D80DB4" w:rsidP="00411653">
      <w:pPr>
        <w:pStyle w:val="NoSpacing"/>
      </w:pPr>
    </w:p>
    <w:p w14:paraId="501A0E2B" w14:textId="65AD6E1A" w:rsidR="00D80DB4" w:rsidRPr="00D80DB4" w:rsidRDefault="00D80DB4" w:rsidP="00411653">
      <w:pPr>
        <w:pStyle w:val="NoSpacing"/>
        <w:rPr>
          <w:rFonts w:eastAsia="Times New Roman"/>
          <w:sz w:val="20"/>
          <w:szCs w:val="20"/>
        </w:rPr>
      </w:pPr>
      <w:r>
        <w:rPr>
          <w:b/>
          <w:bCs/>
        </w:rPr>
        <w:t xml:space="preserve">BE IT FURTHER RESOLVED, </w:t>
      </w:r>
      <w:r w:rsidR="00126669">
        <w:t>that heavy equipment and rock crushing equipment may be used on the site between the hours of 8:00am and 5:00pm Monday through Friday only with no weekends and that the operation must make every effort to mitigate noise and dust from the permitted operation in consideration of the neighborhood.</w:t>
      </w:r>
    </w:p>
    <w:p w14:paraId="0C676861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2E187932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7BC8A22D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0C8F3763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2E47B4C8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63EB5BC2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523A6BB6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741C0496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0DDB0E48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79959648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4A508A27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7C39E435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6D5C8CDF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046C7436" w14:textId="77777777" w:rsidR="00D008F4" w:rsidRDefault="00D008F4" w:rsidP="00BF7680">
      <w:pPr>
        <w:jc w:val="both"/>
        <w:rPr>
          <w:rFonts w:ascii="Arial" w:hAnsi="Arial" w:cs="Arial"/>
          <w:sz w:val="24"/>
          <w:szCs w:val="24"/>
        </w:rPr>
      </w:pPr>
    </w:p>
    <w:p w14:paraId="7B627B47" w14:textId="729D5A86" w:rsidR="00196CB1" w:rsidRPr="00D008F4" w:rsidRDefault="00251490" w:rsidP="00BF7680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08F4">
        <w:rPr>
          <w:rFonts w:ascii="Arial" w:eastAsia="Times New Roman" w:hAnsi="Arial" w:cs="Arial"/>
          <w:bCs/>
          <w:sz w:val="24"/>
          <w:szCs w:val="24"/>
        </w:rPr>
        <w:t>I hereby certify that this Resolution was adopted by the Governing Body</w:t>
      </w:r>
      <w:r w:rsidR="003673CD" w:rsidRPr="00D008F4">
        <w:rPr>
          <w:rFonts w:ascii="Arial" w:eastAsia="Times New Roman" w:hAnsi="Arial" w:cs="Arial"/>
          <w:bCs/>
          <w:sz w:val="24"/>
          <w:szCs w:val="24"/>
        </w:rPr>
        <w:t xml:space="preserve"> on </w:t>
      </w:r>
      <w:r w:rsidR="00D909FE" w:rsidRPr="00D008F4">
        <w:rPr>
          <w:rFonts w:ascii="Arial" w:eastAsia="Times New Roman" w:hAnsi="Arial" w:cs="Arial"/>
          <w:bCs/>
          <w:sz w:val="24"/>
          <w:szCs w:val="24"/>
        </w:rPr>
        <w:t>November 12, 2024</w:t>
      </w:r>
      <w:r w:rsidRPr="00D008F4">
        <w:rPr>
          <w:rFonts w:ascii="Arial" w:eastAsia="Times New Roman" w:hAnsi="Arial" w:cs="Arial"/>
          <w:bCs/>
          <w:sz w:val="24"/>
          <w:szCs w:val="24"/>
        </w:rPr>
        <w:t>.</w:t>
      </w:r>
    </w:p>
    <w:p w14:paraId="1BCE6DCE" w14:textId="77777777" w:rsidR="00251490" w:rsidRPr="00D008F4" w:rsidRDefault="00251490" w:rsidP="00251490">
      <w:pPr>
        <w:pStyle w:val="NoSpacing"/>
        <w:rPr>
          <w:bCs/>
        </w:rPr>
      </w:pPr>
      <w:r w:rsidRPr="00D008F4">
        <w:rPr>
          <w:bCs/>
        </w:rPr>
        <w:t>__________________________</w:t>
      </w:r>
      <w:r w:rsidRPr="00D008F4">
        <w:rPr>
          <w:bCs/>
        </w:rPr>
        <w:tab/>
      </w:r>
      <w:r w:rsidRPr="00D008F4">
        <w:rPr>
          <w:bCs/>
        </w:rPr>
        <w:tab/>
      </w:r>
      <w:r w:rsidRPr="00D008F4">
        <w:rPr>
          <w:bCs/>
        </w:rPr>
        <w:tab/>
        <w:t xml:space="preserve">     ____________________________</w:t>
      </w:r>
    </w:p>
    <w:p w14:paraId="59573820" w14:textId="19F368AE" w:rsidR="00251490" w:rsidRPr="00D008F4" w:rsidRDefault="00251490" w:rsidP="00251490">
      <w:pPr>
        <w:pStyle w:val="NoSpacing"/>
        <w:rPr>
          <w:bCs/>
        </w:rPr>
      </w:pPr>
      <w:r w:rsidRPr="00D008F4">
        <w:rPr>
          <w:bCs/>
        </w:rPr>
        <w:t>Michael J. McPartland</w:t>
      </w:r>
      <w:r w:rsidRPr="00D008F4">
        <w:rPr>
          <w:bCs/>
        </w:rPr>
        <w:tab/>
        <w:t xml:space="preserve">                                </w:t>
      </w:r>
      <w:r w:rsidRPr="00D008F4">
        <w:rPr>
          <w:bCs/>
        </w:rPr>
        <w:tab/>
        <w:t xml:space="preserve">    </w:t>
      </w:r>
      <w:r w:rsidR="00D909FE" w:rsidRPr="00D008F4">
        <w:rPr>
          <w:bCs/>
        </w:rPr>
        <w:t xml:space="preserve"> Stephanie Evans</w:t>
      </w:r>
      <w:r w:rsidRPr="00D008F4">
        <w:rPr>
          <w:bCs/>
        </w:rPr>
        <w:t>, RMC</w:t>
      </w:r>
    </w:p>
    <w:p w14:paraId="2A9660A4" w14:textId="2A03A76A" w:rsidR="00251490" w:rsidRPr="00D008F4" w:rsidRDefault="00251490" w:rsidP="00251490">
      <w:pPr>
        <w:pStyle w:val="NoSpacing"/>
        <w:rPr>
          <w:bCs/>
        </w:rPr>
      </w:pPr>
      <w:r w:rsidRPr="00D008F4">
        <w:rPr>
          <w:bCs/>
        </w:rPr>
        <w:t>Mayor</w:t>
      </w:r>
      <w:r w:rsidRPr="00D008F4">
        <w:rPr>
          <w:bCs/>
        </w:rPr>
        <w:tab/>
      </w:r>
      <w:r w:rsidRPr="00D008F4">
        <w:rPr>
          <w:bCs/>
        </w:rPr>
        <w:tab/>
      </w:r>
      <w:r w:rsidRPr="00D008F4">
        <w:rPr>
          <w:bCs/>
        </w:rPr>
        <w:tab/>
      </w:r>
      <w:r w:rsidRPr="00D008F4">
        <w:rPr>
          <w:bCs/>
        </w:rPr>
        <w:tab/>
      </w:r>
      <w:r w:rsidRPr="00D008F4">
        <w:rPr>
          <w:bCs/>
        </w:rPr>
        <w:tab/>
      </w:r>
      <w:r w:rsidRPr="00D008F4">
        <w:rPr>
          <w:bCs/>
        </w:rPr>
        <w:tab/>
        <w:t xml:space="preserve">               </w:t>
      </w:r>
      <w:r w:rsidR="00D909FE" w:rsidRPr="00D008F4">
        <w:rPr>
          <w:bCs/>
        </w:rPr>
        <w:t xml:space="preserve"> </w:t>
      </w:r>
      <w:r w:rsidRPr="00D008F4">
        <w:rPr>
          <w:bCs/>
        </w:rPr>
        <w:t>Borough Clerk</w:t>
      </w:r>
    </w:p>
    <w:sectPr w:rsidR="00251490" w:rsidRPr="00D00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26669"/>
    <w:rsid w:val="001630B7"/>
    <w:rsid w:val="00172669"/>
    <w:rsid w:val="00173BAE"/>
    <w:rsid w:val="00196CB1"/>
    <w:rsid w:val="001A254F"/>
    <w:rsid w:val="001C7729"/>
    <w:rsid w:val="00251490"/>
    <w:rsid w:val="002B3950"/>
    <w:rsid w:val="002C665F"/>
    <w:rsid w:val="003254C8"/>
    <w:rsid w:val="003673CD"/>
    <w:rsid w:val="003C2200"/>
    <w:rsid w:val="003C52DE"/>
    <w:rsid w:val="003D7EC3"/>
    <w:rsid w:val="00411653"/>
    <w:rsid w:val="004336F4"/>
    <w:rsid w:val="004469C8"/>
    <w:rsid w:val="004A0437"/>
    <w:rsid w:val="004D06B9"/>
    <w:rsid w:val="004E688E"/>
    <w:rsid w:val="005E4C1F"/>
    <w:rsid w:val="006E55D2"/>
    <w:rsid w:val="007020C2"/>
    <w:rsid w:val="00730AFA"/>
    <w:rsid w:val="00803E52"/>
    <w:rsid w:val="00845BCB"/>
    <w:rsid w:val="008A2286"/>
    <w:rsid w:val="00A627ED"/>
    <w:rsid w:val="00B31CD0"/>
    <w:rsid w:val="00BC7BED"/>
    <w:rsid w:val="00BD135F"/>
    <w:rsid w:val="00BF7680"/>
    <w:rsid w:val="00C96476"/>
    <w:rsid w:val="00CD7315"/>
    <w:rsid w:val="00CE1C5B"/>
    <w:rsid w:val="00D008F4"/>
    <w:rsid w:val="00D708C3"/>
    <w:rsid w:val="00D80DB4"/>
    <w:rsid w:val="00D909FE"/>
    <w:rsid w:val="00D9176E"/>
    <w:rsid w:val="00DA4C44"/>
    <w:rsid w:val="00E223BE"/>
    <w:rsid w:val="00E67D34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Stephanie Evans</cp:lastModifiedBy>
  <cp:revision>2</cp:revision>
  <cp:lastPrinted>2024-11-08T19:03:00Z</cp:lastPrinted>
  <dcterms:created xsi:type="dcterms:W3CDTF">2024-11-08T19:04:00Z</dcterms:created>
  <dcterms:modified xsi:type="dcterms:W3CDTF">2024-11-08T19:04:00Z</dcterms:modified>
</cp:coreProperties>
</file>