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8851" w14:textId="77777777" w:rsidR="00626CC3" w:rsidRDefault="00626CC3" w:rsidP="008D1494">
      <w:pPr>
        <w:ind w:firstLine="720"/>
        <w:jc w:val="center"/>
        <w:rPr>
          <w:rFonts w:ascii="Arial" w:hAnsi="Arial"/>
          <w:b/>
          <w:bCs/>
          <w:sz w:val="24"/>
          <w:u w:val="single"/>
        </w:rPr>
      </w:pPr>
    </w:p>
    <w:p w14:paraId="5252109A" w14:textId="77777777" w:rsidR="00626CC3" w:rsidRDefault="00626CC3" w:rsidP="008D1494">
      <w:pPr>
        <w:ind w:firstLine="720"/>
        <w:jc w:val="center"/>
        <w:rPr>
          <w:rFonts w:ascii="Arial" w:hAnsi="Arial"/>
          <w:b/>
          <w:bCs/>
          <w:sz w:val="24"/>
          <w:u w:val="single"/>
        </w:rPr>
      </w:pPr>
    </w:p>
    <w:p w14:paraId="762B881A" w14:textId="77777777" w:rsidR="00626CC3" w:rsidRDefault="00626CC3" w:rsidP="008D1494">
      <w:pPr>
        <w:ind w:firstLine="720"/>
        <w:jc w:val="center"/>
        <w:rPr>
          <w:rFonts w:ascii="Arial" w:hAnsi="Arial"/>
          <w:b/>
          <w:bCs/>
          <w:sz w:val="24"/>
          <w:u w:val="single"/>
        </w:rPr>
      </w:pPr>
    </w:p>
    <w:p w14:paraId="524A942D" w14:textId="77777777" w:rsidR="00626CC3" w:rsidRDefault="00626CC3" w:rsidP="008D1494">
      <w:pPr>
        <w:ind w:firstLine="720"/>
        <w:jc w:val="center"/>
        <w:rPr>
          <w:rFonts w:ascii="Arial" w:hAnsi="Arial"/>
          <w:b/>
          <w:bCs/>
          <w:sz w:val="24"/>
          <w:u w:val="single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6CC3" w:rsidRPr="00257E41" w14:paraId="7236DEFD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724AEB41" w14:textId="77777777" w:rsidR="00626CC3" w:rsidRPr="00257E41" w:rsidRDefault="00626CC3" w:rsidP="009A56C1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F7D79C" wp14:editId="51174B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6CC3" w:rsidRPr="00257E41" w14:paraId="33290713" w14:textId="77777777" w:rsidTr="009A56C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F301882" w14:textId="77777777" w:rsidR="00626CC3" w:rsidRPr="00257E41" w:rsidRDefault="00626CC3" w:rsidP="009A56C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012132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E6344F7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59B4B5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976830F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28EA14D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4CEF26B" w14:textId="77777777" w:rsidR="00626CC3" w:rsidRPr="00257E41" w:rsidRDefault="00626CC3" w:rsidP="009A56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6CC3" w:rsidRPr="00257E41" w14:paraId="6D28A494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3E15943C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CE4933E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F19C5F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08C31A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A318713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17BA72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587963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33599DD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A5C9764" w14:textId="77777777" w:rsidR="00626CC3" w:rsidRPr="00257E41" w:rsidRDefault="00626CC3" w:rsidP="009A56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6CC3" w:rsidRPr="00257E41" w14:paraId="049BFCD3" w14:textId="77777777" w:rsidTr="009A56C1">
        <w:trPr>
          <w:trHeight w:val="612"/>
        </w:trPr>
        <w:tc>
          <w:tcPr>
            <w:tcW w:w="2056" w:type="dxa"/>
            <w:noWrap/>
            <w:vAlign w:val="bottom"/>
          </w:tcPr>
          <w:p w14:paraId="4B3EA605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D73E928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C4671E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3B4BD97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7DA45F0" w14:textId="77777777" w:rsidR="00626CC3" w:rsidRPr="00554909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B9DA3B" w14:textId="77777777" w:rsidR="00626CC3" w:rsidRPr="00554909" w:rsidRDefault="00626CC3" w:rsidP="009A56C1">
            <w:pPr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3F605AB" w14:textId="77777777" w:rsidR="00626CC3" w:rsidRPr="00554909" w:rsidRDefault="00626CC3" w:rsidP="009A56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442AE4" w14:textId="77777777" w:rsidR="00626CC3" w:rsidRPr="00554909" w:rsidRDefault="00626CC3" w:rsidP="009A56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22E4864" w14:textId="77777777" w:rsidR="00626CC3" w:rsidRPr="00257E41" w:rsidRDefault="00626CC3" w:rsidP="009A56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6CC3" w:rsidRPr="00257E41" w14:paraId="21EC5745" w14:textId="77777777" w:rsidTr="009A56C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ECB9E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16699A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E26DE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85D809" w14:textId="77777777" w:rsidR="00626CC3" w:rsidRPr="00257E41" w:rsidRDefault="00626CC3" w:rsidP="009A56C1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D8C64" w14:textId="77777777" w:rsidR="00626CC3" w:rsidRPr="00554909" w:rsidRDefault="00626CC3" w:rsidP="009A56C1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4909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9BF97DF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31FAB0" w14:textId="77777777" w:rsidR="00626CC3" w:rsidRPr="00554909" w:rsidRDefault="00626CC3" w:rsidP="009A56C1">
            <w:pPr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554909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6B0004" w14:textId="27602B0D" w:rsidR="00626CC3" w:rsidRPr="00554909" w:rsidRDefault="00092697" w:rsidP="009A56C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54909">
              <w:rPr>
                <w:rFonts w:ascii="Arial" w:eastAsia="Times New Roman" w:hAnsi="Arial" w:cs="Arial"/>
                <w:sz w:val="20"/>
                <w:szCs w:val="20"/>
              </w:rPr>
              <w:t>February 12, 2024</w:t>
            </w:r>
          </w:p>
        </w:tc>
      </w:tr>
      <w:tr w:rsidR="00626CC3" w:rsidRPr="00257E41" w14:paraId="1E752CB9" w14:textId="77777777" w:rsidTr="009A56C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CC64A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AFBEA6" w14:textId="5C806BC5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1E83B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70EED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47EBB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5549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AE7D3D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075492" w14:textId="77777777" w:rsidR="00626CC3" w:rsidRPr="00554909" w:rsidRDefault="00626CC3" w:rsidP="009A56C1">
            <w:pPr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554909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41C7C" w14:textId="2CD83C99" w:rsidR="00626CC3" w:rsidRPr="00554909" w:rsidRDefault="00092697" w:rsidP="009A56C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54909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  <w:r w:rsidR="00554909" w:rsidRPr="00554909">
              <w:rPr>
                <w:rFonts w:ascii="Arial" w:eastAsia="Times New Roman" w:hAnsi="Arial" w:cs="Arial"/>
                <w:sz w:val="20"/>
                <w:szCs w:val="20"/>
              </w:rPr>
              <w:t>-079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5AAC6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6CC3" w:rsidRPr="00257E41" w14:paraId="6543003E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4170EE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960505" w14:textId="0A25B9AB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4B7140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447553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55B928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4AD22BA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1A0254" w14:textId="77777777" w:rsidR="00626CC3" w:rsidRPr="00554909" w:rsidRDefault="00626CC3" w:rsidP="009A56C1">
            <w:pPr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554909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D8124D" w14:textId="361BDB6E" w:rsidR="00626CC3" w:rsidRPr="00554909" w:rsidRDefault="00626CC3" w:rsidP="009A56C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6CC3" w:rsidRPr="00257E41" w14:paraId="30532A73" w14:textId="77777777" w:rsidTr="009A56C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D367E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D07629" w14:textId="03C2A2A9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1DC6E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26A7D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3C0112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5549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01EA34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829E7E" w14:textId="77777777" w:rsidR="00626CC3" w:rsidRPr="00554909" w:rsidRDefault="00626CC3" w:rsidP="009A56C1">
            <w:pPr>
              <w:rPr>
                <w:rFonts w:eastAsia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06F3D5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504BA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26CC3" w:rsidRPr="00257E41" w14:paraId="63539F82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905BE4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A21F2B4" w14:textId="1DEF17F9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891B3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AA48BE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B598E0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5549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B67E33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14468A" w14:textId="77777777" w:rsidR="00626CC3" w:rsidRPr="00554909" w:rsidRDefault="00626CC3" w:rsidP="009A56C1">
            <w:pPr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554909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2F813" w14:textId="265704D2" w:rsidR="00626CC3" w:rsidRPr="00554909" w:rsidRDefault="00626CC3" w:rsidP="009A56C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6CC3" w:rsidRPr="00257E41" w14:paraId="7B8DEFF6" w14:textId="77777777" w:rsidTr="009A56C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B1752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A5725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DDC50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9D9E9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961E3" w14:textId="3689A211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5549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AD1BAE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0BB05C" w14:textId="77777777" w:rsidR="00626CC3" w:rsidRPr="00554909" w:rsidRDefault="00626CC3" w:rsidP="009A56C1">
            <w:pPr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9A492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5549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AB454A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26CC3" w:rsidRPr="00257E41" w14:paraId="68301A0E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BA688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70741D" w14:textId="1A44BD2D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36C07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42D2C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  <w:r w:rsidRPr="00555A52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5C8A7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  <w:r w:rsidRPr="005549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9F7614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78194B7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32F3D7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AC16441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26CC3" w:rsidRPr="00257E41" w14:paraId="565CA376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48273" w14:textId="77777777" w:rsidR="00626CC3" w:rsidRPr="00555A52" w:rsidRDefault="00626CC3" w:rsidP="009A56C1">
            <w:pPr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555A52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ED36D0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5CBCE1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C6CC1F" w14:textId="77777777" w:rsidR="00626CC3" w:rsidRPr="00555A52" w:rsidRDefault="00626CC3" w:rsidP="009A56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918691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E4698D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8B2303F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  <w:p w14:paraId="46F1BB8D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B4E1D2" w14:textId="77777777" w:rsidR="00626CC3" w:rsidRPr="00554909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4807B6" w14:textId="77777777" w:rsidR="00626CC3" w:rsidRPr="00257E41" w:rsidRDefault="00626CC3" w:rsidP="009A56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C723D6" w14:textId="6F6386BA" w:rsidR="008D1494" w:rsidRPr="00092697" w:rsidRDefault="008D1494" w:rsidP="00092697">
      <w:pPr>
        <w:jc w:val="center"/>
        <w:rPr>
          <w:rFonts w:ascii="Arial" w:hAnsi="Arial"/>
          <w:b/>
          <w:bCs/>
          <w:sz w:val="24"/>
        </w:rPr>
      </w:pPr>
      <w:r w:rsidRPr="00092697">
        <w:rPr>
          <w:rFonts w:ascii="Arial" w:hAnsi="Arial"/>
          <w:b/>
          <w:bCs/>
          <w:sz w:val="24"/>
        </w:rPr>
        <w:t>RESOLUTION AUTHORIZING SETTLEMENT AGREEMENT</w:t>
      </w:r>
    </w:p>
    <w:p w14:paraId="2C7A83C6" w14:textId="6022A600" w:rsidR="008D1494" w:rsidRDefault="008D1494" w:rsidP="008D1494">
      <w:pPr>
        <w:ind w:firstLine="720"/>
        <w:jc w:val="center"/>
        <w:rPr>
          <w:rFonts w:ascii="Arial" w:hAnsi="Arial"/>
          <w:b/>
          <w:bCs/>
          <w:sz w:val="24"/>
        </w:rPr>
      </w:pPr>
    </w:p>
    <w:p w14:paraId="72D5CD6D" w14:textId="4BA65281" w:rsidR="008D1494" w:rsidRPr="008D1494" w:rsidRDefault="008D1494" w:rsidP="00626CC3">
      <w:pPr>
        <w:rPr>
          <w:rFonts w:ascii="Arial" w:hAnsi="Arial"/>
          <w:sz w:val="24"/>
        </w:rPr>
      </w:pPr>
      <w:r w:rsidRPr="008D1494">
        <w:rPr>
          <w:rFonts w:ascii="Arial" w:hAnsi="Arial"/>
          <w:b/>
          <w:bCs/>
          <w:sz w:val="24"/>
        </w:rPr>
        <w:t xml:space="preserve">WHEREAS, </w:t>
      </w:r>
      <w:r w:rsidRPr="008D1494">
        <w:rPr>
          <w:rFonts w:ascii="Arial" w:hAnsi="Arial"/>
          <w:sz w:val="24"/>
        </w:rPr>
        <w:t xml:space="preserve">the Borough of Edgewater </w:t>
      </w:r>
      <w:r>
        <w:rPr>
          <w:rFonts w:ascii="Arial" w:hAnsi="Arial"/>
          <w:sz w:val="24"/>
        </w:rPr>
        <w:t>F</w:t>
      </w:r>
      <w:r w:rsidRPr="008D1494">
        <w:rPr>
          <w:rFonts w:ascii="Arial" w:hAnsi="Arial"/>
          <w:sz w:val="24"/>
        </w:rPr>
        <w:t xml:space="preserve">ire </w:t>
      </w:r>
      <w:r>
        <w:rPr>
          <w:rFonts w:ascii="Arial" w:hAnsi="Arial"/>
          <w:sz w:val="24"/>
        </w:rPr>
        <w:t>D</w:t>
      </w:r>
      <w:r w:rsidRPr="008D1494">
        <w:rPr>
          <w:rFonts w:ascii="Arial" w:hAnsi="Arial"/>
          <w:sz w:val="24"/>
        </w:rPr>
        <w:t xml:space="preserve">epartment issued violations to </w:t>
      </w:r>
      <w:r w:rsidR="00092697">
        <w:rPr>
          <w:rFonts w:ascii="Arial" w:hAnsi="Arial"/>
          <w:sz w:val="24"/>
        </w:rPr>
        <w:t>2</w:t>
      </w:r>
      <w:r w:rsidR="000128C2">
        <w:rPr>
          <w:rFonts w:ascii="Arial" w:hAnsi="Arial"/>
          <w:sz w:val="24"/>
        </w:rPr>
        <w:t>3 Valley Place, Block 35, Lot 25 as early as January 29, 2016</w:t>
      </w:r>
      <w:r w:rsidR="005A58E9">
        <w:rPr>
          <w:rFonts w:ascii="Arial" w:hAnsi="Arial"/>
          <w:sz w:val="24"/>
        </w:rPr>
        <w:t xml:space="preserve"> and subsequent years through</w:t>
      </w:r>
      <w:r w:rsidR="00092697">
        <w:rPr>
          <w:rFonts w:ascii="Arial" w:hAnsi="Arial"/>
          <w:sz w:val="24"/>
        </w:rPr>
        <w:t xml:space="preserve"> </w:t>
      </w:r>
      <w:r w:rsidR="005A58E9">
        <w:rPr>
          <w:rFonts w:ascii="Arial" w:hAnsi="Arial"/>
          <w:sz w:val="24"/>
        </w:rPr>
        <w:t>2023 as per Public Law 1983, Chapter 383, N.J.S.A. 52:27D-192 et seq. of the State of New Jersey Uniform Fire Code</w:t>
      </w:r>
      <w:r w:rsidRPr="008D1494">
        <w:rPr>
          <w:rFonts w:ascii="Arial" w:hAnsi="Arial"/>
          <w:sz w:val="24"/>
        </w:rPr>
        <w:t xml:space="preserve">; and </w:t>
      </w:r>
    </w:p>
    <w:p w14:paraId="3D67E471" w14:textId="77777777" w:rsidR="008D1494" w:rsidRPr="008D1494" w:rsidRDefault="008D1494" w:rsidP="008D1494">
      <w:pPr>
        <w:ind w:firstLine="720"/>
        <w:rPr>
          <w:rFonts w:ascii="Arial" w:hAnsi="Arial"/>
          <w:sz w:val="24"/>
        </w:rPr>
      </w:pPr>
    </w:p>
    <w:p w14:paraId="0F36C1C4" w14:textId="385AA7C6" w:rsidR="008D1494" w:rsidRPr="008D1494" w:rsidRDefault="008D1494" w:rsidP="00626CC3">
      <w:pPr>
        <w:rPr>
          <w:rFonts w:ascii="Arial" w:hAnsi="Arial"/>
          <w:sz w:val="24"/>
        </w:rPr>
      </w:pPr>
      <w:r w:rsidRPr="008D1494">
        <w:rPr>
          <w:rFonts w:ascii="Arial" w:hAnsi="Arial"/>
          <w:b/>
          <w:bCs/>
          <w:sz w:val="24"/>
        </w:rPr>
        <w:t xml:space="preserve">WHEREAS, </w:t>
      </w:r>
      <w:r w:rsidR="000128C2">
        <w:rPr>
          <w:rFonts w:ascii="Arial" w:hAnsi="Arial"/>
          <w:sz w:val="24"/>
        </w:rPr>
        <w:t>US Bank, Successor Trustee to Bank of America, Successor in Interest to LaSalle Bank as Trustee on behalf of the Holders of the Washington Mutual Mortgage</w:t>
      </w:r>
      <w:r w:rsidR="005A58E9">
        <w:rPr>
          <w:rFonts w:ascii="Arial" w:hAnsi="Arial"/>
          <w:sz w:val="24"/>
        </w:rPr>
        <w:t xml:space="preserve"> and the Borough of Edgewater have negotiated a settlement agreement</w:t>
      </w:r>
      <w:r w:rsidR="00302C39">
        <w:rPr>
          <w:rFonts w:ascii="Arial" w:hAnsi="Arial"/>
          <w:sz w:val="24"/>
        </w:rPr>
        <w:t xml:space="preserve"> </w:t>
      </w:r>
      <w:r w:rsidR="00302C39">
        <w:rPr>
          <w:rFonts w:ascii="Arial" w:hAnsi="Arial"/>
          <w:sz w:val="24"/>
        </w:rPr>
        <w:t xml:space="preserve">on substantially the same terms as those in the agreement attached </w:t>
      </w:r>
      <w:bookmarkStart w:id="0" w:name="_GoBack"/>
      <w:bookmarkEnd w:id="0"/>
      <w:r w:rsidR="00302C39">
        <w:rPr>
          <w:rFonts w:ascii="Arial" w:hAnsi="Arial"/>
          <w:sz w:val="24"/>
        </w:rPr>
        <w:t>hereto</w:t>
      </w:r>
      <w:r w:rsidR="00302C39" w:rsidRPr="008D1494">
        <w:rPr>
          <w:rFonts w:ascii="Arial" w:hAnsi="Arial"/>
          <w:sz w:val="24"/>
        </w:rPr>
        <w:t>;</w:t>
      </w:r>
      <w:r w:rsidRPr="008D1494">
        <w:rPr>
          <w:rFonts w:ascii="Arial" w:hAnsi="Arial"/>
          <w:sz w:val="24"/>
        </w:rPr>
        <w:t xml:space="preserve"> and </w:t>
      </w:r>
    </w:p>
    <w:p w14:paraId="64496303" w14:textId="77777777" w:rsidR="008D1494" w:rsidRPr="008D1494" w:rsidRDefault="008D1494" w:rsidP="008D1494">
      <w:pPr>
        <w:rPr>
          <w:rFonts w:ascii="Arial" w:hAnsi="Arial"/>
          <w:b/>
          <w:bCs/>
          <w:sz w:val="24"/>
        </w:rPr>
      </w:pPr>
    </w:p>
    <w:p w14:paraId="3191FBCD" w14:textId="296E1251" w:rsidR="008D1494" w:rsidRPr="008D1494" w:rsidRDefault="008D1494" w:rsidP="00626CC3">
      <w:pPr>
        <w:rPr>
          <w:rFonts w:ascii="Arial" w:hAnsi="Arial"/>
          <w:sz w:val="24"/>
        </w:rPr>
      </w:pPr>
      <w:r w:rsidRPr="008D1494">
        <w:rPr>
          <w:rFonts w:ascii="Arial" w:hAnsi="Arial"/>
          <w:b/>
          <w:bCs/>
          <w:sz w:val="24"/>
        </w:rPr>
        <w:t xml:space="preserve">WHEREAS, </w:t>
      </w:r>
      <w:r w:rsidR="005A58E9">
        <w:rPr>
          <w:rFonts w:ascii="Arial" w:hAnsi="Arial"/>
          <w:bCs/>
          <w:sz w:val="24"/>
        </w:rPr>
        <w:t xml:space="preserve">the Borough of Edgewater Fire Official Steven Curry and Borough Special Counsel Joseph Mariniello Jr. </w:t>
      </w:r>
      <w:r w:rsidR="00F11C22">
        <w:rPr>
          <w:rFonts w:ascii="Arial" w:hAnsi="Arial"/>
          <w:bCs/>
          <w:sz w:val="24"/>
        </w:rPr>
        <w:t xml:space="preserve">have negotiated a settlement </w:t>
      </w:r>
      <w:r w:rsidR="000128C2">
        <w:rPr>
          <w:rFonts w:ascii="Arial" w:hAnsi="Arial"/>
          <w:sz w:val="24"/>
        </w:rPr>
        <w:t>for the sum of $2</w:t>
      </w:r>
      <w:r w:rsidR="005A58E9">
        <w:rPr>
          <w:rFonts w:ascii="Arial" w:hAnsi="Arial"/>
          <w:sz w:val="24"/>
        </w:rPr>
        <w:t>5,000.00</w:t>
      </w:r>
      <w:r w:rsidR="00F11C22">
        <w:rPr>
          <w:rFonts w:ascii="Arial" w:hAnsi="Arial"/>
          <w:sz w:val="24"/>
        </w:rPr>
        <w:t>.</w:t>
      </w:r>
      <w:r w:rsidRPr="008D1494">
        <w:rPr>
          <w:rFonts w:ascii="Arial" w:hAnsi="Arial"/>
          <w:sz w:val="24"/>
        </w:rPr>
        <w:t xml:space="preserve"> </w:t>
      </w:r>
    </w:p>
    <w:p w14:paraId="3111327D" w14:textId="77777777" w:rsidR="008D1494" w:rsidRPr="008D1494" w:rsidRDefault="008D1494" w:rsidP="008D1494">
      <w:pPr>
        <w:rPr>
          <w:rFonts w:ascii="Arial" w:hAnsi="Arial"/>
          <w:b/>
          <w:bCs/>
          <w:sz w:val="24"/>
        </w:rPr>
      </w:pPr>
    </w:p>
    <w:p w14:paraId="0131F1DB" w14:textId="06FB6FA0" w:rsidR="008D1494" w:rsidRPr="008D1494" w:rsidRDefault="008D1494" w:rsidP="00626CC3">
      <w:pPr>
        <w:rPr>
          <w:rFonts w:ascii="Arial" w:hAnsi="Arial"/>
          <w:sz w:val="24"/>
        </w:rPr>
      </w:pPr>
      <w:r w:rsidRPr="008D1494">
        <w:rPr>
          <w:rFonts w:ascii="Arial" w:hAnsi="Arial"/>
          <w:b/>
          <w:bCs/>
          <w:sz w:val="24"/>
        </w:rPr>
        <w:t xml:space="preserve">NOW THEREFORE BE IT RESOLVED, </w:t>
      </w:r>
      <w:r w:rsidR="005A58E9">
        <w:rPr>
          <w:rFonts w:ascii="Arial" w:hAnsi="Arial"/>
          <w:bCs/>
          <w:sz w:val="24"/>
        </w:rPr>
        <w:t xml:space="preserve">that </w:t>
      </w:r>
      <w:r w:rsidR="004647A6">
        <w:rPr>
          <w:rFonts w:ascii="Arial" w:hAnsi="Arial"/>
          <w:sz w:val="24"/>
        </w:rPr>
        <w:t xml:space="preserve">a </w:t>
      </w:r>
      <w:r w:rsidRPr="008D1494">
        <w:rPr>
          <w:rFonts w:ascii="Arial" w:hAnsi="Arial"/>
          <w:sz w:val="24"/>
        </w:rPr>
        <w:t>Settl</w:t>
      </w:r>
      <w:r w:rsidR="005A58E9">
        <w:rPr>
          <w:rFonts w:ascii="Arial" w:hAnsi="Arial"/>
          <w:sz w:val="24"/>
        </w:rPr>
        <w:t>ement Agreement containing the</w:t>
      </w:r>
      <w:r w:rsidRPr="008D1494">
        <w:rPr>
          <w:rFonts w:ascii="Arial" w:hAnsi="Arial"/>
          <w:sz w:val="24"/>
        </w:rPr>
        <w:t xml:space="preserve"> terms </w:t>
      </w:r>
      <w:r w:rsidR="005A58E9">
        <w:rPr>
          <w:rFonts w:ascii="Arial" w:hAnsi="Arial"/>
          <w:sz w:val="24"/>
        </w:rPr>
        <w:t>of payment o</w:t>
      </w:r>
      <w:r w:rsidR="000128C2">
        <w:rPr>
          <w:rFonts w:ascii="Arial" w:hAnsi="Arial"/>
          <w:sz w:val="24"/>
        </w:rPr>
        <w:t>f settlement in the amount of $2</w:t>
      </w:r>
      <w:r w:rsidR="005A58E9">
        <w:rPr>
          <w:rFonts w:ascii="Arial" w:hAnsi="Arial"/>
          <w:sz w:val="24"/>
        </w:rPr>
        <w:t xml:space="preserve">5,000 to abate all outstanding violations be authorized by the Edgewater Mayor and Council </w:t>
      </w:r>
      <w:r w:rsidRPr="008D1494">
        <w:rPr>
          <w:rFonts w:ascii="Arial" w:hAnsi="Arial"/>
          <w:sz w:val="24"/>
        </w:rPr>
        <w:t>and the Mayor and Borough Clerk are authorized to sign the Sett</w:t>
      </w:r>
      <w:r w:rsidR="005A58E9">
        <w:rPr>
          <w:rFonts w:ascii="Arial" w:hAnsi="Arial"/>
          <w:sz w:val="24"/>
        </w:rPr>
        <w:t>lement Agreement.</w:t>
      </w:r>
    </w:p>
    <w:p w14:paraId="74180153" w14:textId="77777777" w:rsidR="008D1494" w:rsidRPr="008D1494" w:rsidRDefault="008D1494" w:rsidP="008D1494">
      <w:pPr>
        <w:rPr>
          <w:rFonts w:ascii="Arial" w:hAnsi="Arial"/>
          <w:sz w:val="24"/>
        </w:rPr>
      </w:pPr>
      <w:r w:rsidRPr="008D1494">
        <w:rPr>
          <w:rFonts w:ascii="Arial" w:hAnsi="Arial"/>
          <w:sz w:val="24"/>
        </w:rPr>
        <w:t> </w:t>
      </w:r>
    </w:p>
    <w:p w14:paraId="57F7B1C8" w14:textId="77777777" w:rsidR="008D1494" w:rsidRPr="008D1494" w:rsidRDefault="008D1494" w:rsidP="008D1494">
      <w:pPr>
        <w:rPr>
          <w:rFonts w:ascii="Arial" w:hAnsi="Arial"/>
          <w:sz w:val="24"/>
        </w:rPr>
      </w:pPr>
    </w:p>
    <w:p w14:paraId="13A39ABC" w14:textId="126ABADC" w:rsidR="00626CC3" w:rsidRPr="002B2EE7" w:rsidRDefault="00626CC3" w:rsidP="00626CC3">
      <w:pPr>
        <w:rPr>
          <w:rFonts w:ascii="Arial" w:eastAsia="Calibri" w:hAnsi="Arial" w:cs="Arial"/>
          <w:b/>
          <w:sz w:val="24"/>
          <w:szCs w:val="24"/>
        </w:rPr>
      </w:pPr>
      <w:r w:rsidRPr="002B2EE7">
        <w:rPr>
          <w:rFonts w:ascii="Arial" w:eastAsia="Times New Roman" w:hAnsi="Arial" w:cs="Arial"/>
          <w:b/>
          <w:bCs/>
          <w:sz w:val="24"/>
          <w:szCs w:val="24"/>
        </w:rPr>
        <w:t>I hereby certify that the above resolution was adopted by the Governing Body on</w:t>
      </w:r>
      <w:r w:rsidR="00F11C22">
        <w:rPr>
          <w:rFonts w:ascii="Arial" w:eastAsia="Calibri" w:hAnsi="Arial" w:cs="Arial"/>
          <w:b/>
          <w:sz w:val="24"/>
          <w:szCs w:val="24"/>
        </w:rPr>
        <w:t xml:space="preserve"> February 12, 2024</w:t>
      </w:r>
      <w:r w:rsidRPr="002B2EE7">
        <w:rPr>
          <w:rFonts w:ascii="Arial" w:eastAsia="Calibri" w:hAnsi="Arial" w:cs="Arial"/>
          <w:b/>
          <w:sz w:val="24"/>
          <w:szCs w:val="24"/>
        </w:rPr>
        <w:t>.</w:t>
      </w:r>
    </w:p>
    <w:p w14:paraId="0673D8F8" w14:textId="77777777" w:rsidR="00626CC3" w:rsidRPr="007A5F3C" w:rsidRDefault="00626CC3" w:rsidP="00626CC3">
      <w:pPr>
        <w:tabs>
          <w:tab w:val="left" w:pos="368"/>
        </w:tabs>
        <w:spacing w:line="277" w:lineRule="exact"/>
        <w:rPr>
          <w:rFonts w:ascii="Arial" w:eastAsia="Calibri" w:hAnsi="Arial" w:cs="Arial"/>
          <w:b/>
          <w:sz w:val="20"/>
          <w:szCs w:val="20"/>
        </w:rPr>
      </w:pPr>
    </w:p>
    <w:p w14:paraId="153B0B19" w14:textId="08D16368" w:rsidR="005A58E9" w:rsidRDefault="00626CC3" w:rsidP="00626CC3">
      <w:pPr>
        <w:tabs>
          <w:tab w:val="left" w:pos="368"/>
        </w:tabs>
        <w:spacing w:line="277" w:lineRule="exact"/>
        <w:rPr>
          <w:rFonts w:ascii="Arial" w:eastAsia="Calibri" w:hAnsi="Arial" w:cs="Arial"/>
          <w:b/>
          <w:sz w:val="24"/>
          <w:szCs w:val="24"/>
        </w:rPr>
      </w:pPr>
      <w:r w:rsidRPr="002B2EE7">
        <w:rPr>
          <w:rFonts w:ascii="Arial" w:eastAsia="Calibri" w:hAnsi="Arial" w:cs="Arial"/>
          <w:b/>
          <w:sz w:val="24"/>
          <w:szCs w:val="24"/>
        </w:rPr>
        <w:t>_______________________</w:t>
      </w:r>
      <w:r w:rsidR="005A58E9">
        <w:rPr>
          <w:rFonts w:ascii="Arial" w:eastAsia="Calibri" w:hAnsi="Arial" w:cs="Arial"/>
          <w:b/>
          <w:sz w:val="24"/>
          <w:szCs w:val="24"/>
        </w:rPr>
        <w:t>___</w:t>
      </w:r>
      <w:r w:rsidR="005A58E9">
        <w:rPr>
          <w:rFonts w:ascii="Arial" w:eastAsia="Calibri" w:hAnsi="Arial" w:cs="Arial"/>
          <w:b/>
          <w:sz w:val="24"/>
          <w:szCs w:val="24"/>
        </w:rPr>
        <w:tab/>
      </w:r>
      <w:r w:rsidR="005A58E9">
        <w:rPr>
          <w:rFonts w:ascii="Arial" w:eastAsia="Calibri" w:hAnsi="Arial" w:cs="Arial"/>
          <w:b/>
          <w:sz w:val="24"/>
          <w:szCs w:val="24"/>
        </w:rPr>
        <w:tab/>
      </w:r>
      <w:r w:rsidR="005A58E9">
        <w:rPr>
          <w:rFonts w:ascii="Arial" w:eastAsia="Calibri" w:hAnsi="Arial" w:cs="Arial"/>
          <w:b/>
          <w:sz w:val="24"/>
          <w:szCs w:val="24"/>
        </w:rPr>
        <w:tab/>
        <w:t xml:space="preserve">       ____________________________</w:t>
      </w:r>
    </w:p>
    <w:p w14:paraId="25575E30" w14:textId="63315DE6" w:rsidR="00626CC3" w:rsidRPr="002B2EE7" w:rsidRDefault="00626CC3" w:rsidP="00626CC3">
      <w:pPr>
        <w:tabs>
          <w:tab w:val="left" w:pos="368"/>
        </w:tabs>
        <w:spacing w:line="277" w:lineRule="exact"/>
        <w:rPr>
          <w:rFonts w:ascii="Arial" w:eastAsia="Times New Roman" w:hAnsi="Arial" w:cs="Arial"/>
          <w:b/>
          <w:sz w:val="24"/>
          <w:szCs w:val="24"/>
        </w:rPr>
      </w:pPr>
      <w:r w:rsidRPr="002B2EE7">
        <w:rPr>
          <w:rFonts w:ascii="Arial" w:eastAsia="Times New Roman" w:hAnsi="Arial" w:cs="Arial"/>
          <w:b/>
          <w:sz w:val="24"/>
          <w:szCs w:val="24"/>
        </w:rPr>
        <w:lastRenderedPageBreak/>
        <w:t xml:space="preserve">Michael McPartland       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="005A58E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Pr="002B2EE7">
        <w:rPr>
          <w:rFonts w:ascii="Arial" w:eastAsia="Times New Roman" w:hAnsi="Arial" w:cs="Arial"/>
          <w:b/>
          <w:sz w:val="24"/>
          <w:szCs w:val="24"/>
        </w:rPr>
        <w:t>Annamarie O’Connor, RMC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</w:p>
    <w:p w14:paraId="0BE0FDB3" w14:textId="42C1AC41" w:rsidR="005A6884" w:rsidRPr="008D1494" w:rsidRDefault="00626CC3" w:rsidP="00626CC3">
      <w:pPr>
        <w:rPr>
          <w:rFonts w:ascii="Arial" w:hAnsi="Arial"/>
          <w:sz w:val="24"/>
        </w:rPr>
      </w:pPr>
      <w:r w:rsidRPr="002B2EE7">
        <w:rPr>
          <w:rFonts w:ascii="Arial" w:eastAsia="Times New Roman" w:hAnsi="Arial" w:cs="Arial"/>
          <w:b/>
          <w:sz w:val="24"/>
          <w:szCs w:val="24"/>
        </w:rPr>
        <w:t xml:space="preserve">Mayor 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="005A58E9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Borough Clerk</w:t>
      </w:r>
    </w:p>
    <w:sectPr w:rsidR="005A6884" w:rsidRPr="008D1494" w:rsidSect="008D149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234B3"/>
    <w:multiLevelType w:val="multilevel"/>
    <w:tmpl w:val="D04A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84"/>
    <w:rsid w:val="000128C2"/>
    <w:rsid w:val="00092697"/>
    <w:rsid w:val="00192967"/>
    <w:rsid w:val="00302C39"/>
    <w:rsid w:val="004647A6"/>
    <w:rsid w:val="0052683B"/>
    <w:rsid w:val="00554909"/>
    <w:rsid w:val="00555A52"/>
    <w:rsid w:val="00574B6F"/>
    <w:rsid w:val="005A58E9"/>
    <w:rsid w:val="005A6884"/>
    <w:rsid w:val="00614F09"/>
    <w:rsid w:val="00626CC3"/>
    <w:rsid w:val="00691943"/>
    <w:rsid w:val="007707E9"/>
    <w:rsid w:val="008D1494"/>
    <w:rsid w:val="00F11C22"/>
    <w:rsid w:val="00F3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B9AD"/>
  <w15:chartTrackingRefBased/>
  <w15:docId w15:val="{5D4C0D44-446B-48E9-8EB8-481CB24E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49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Nikki D'Anna</cp:lastModifiedBy>
  <cp:revision>2</cp:revision>
  <dcterms:created xsi:type="dcterms:W3CDTF">2024-02-09T21:47:00Z</dcterms:created>
  <dcterms:modified xsi:type="dcterms:W3CDTF">2024-02-09T21:47:00Z</dcterms:modified>
</cp:coreProperties>
</file>